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CB2F" w14:textId="77777777" w:rsidR="00E97750" w:rsidRDefault="00D84597" w:rsidP="00C34702">
      <w:pPr>
        <w:ind w:left="927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97">
        <w:rPr>
          <w:rFonts w:ascii="Times New Roman" w:hAnsi="Times New Roman"/>
          <w:b/>
          <w:bCs/>
          <w:sz w:val="28"/>
          <w:szCs w:val="28"/>
        </w:rPr>
        <w:t>Отчет о результатах мониторинга качества финансового менеджмента главного администратора средств бюджета муниципального образования «Муринское городское поселение» Всеволожского муниципального района Ленинградской области за 202</w:t>
      </w:r>
      <w:r w:rsidR="00DB6A73">
        <w:rPr>
          <w:rFonts w:ascii="Times New Roman" w:hAnsi="Times New Roman"/>
          <w:b/>
          <w:bCs/>
          <w:sz w:val="28"/>
          <w:szCs w:val="28"/>
        </w:rPr>
        <w:t>2</w:t>
      </w:r>
      <w:r w:rsidRPr="00D84597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14:paraId="49A8BC6A" w14:textId="77777777" w:rsidR="00D84597" w:rsidRDefault="00D84597" w:rsidP="00C347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4597">
        <w:rPr>
          <w:rFonts w:ascii="Times New Roman" w:hAnsi="Times New Roman"/>
          <w:sz w:val="28"/>
          <w:szCs w:val="28"/>
        </w:rPr>
        <w:t>Отделом финансового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в соответствии со статьей 160.2-1 Бюджетного кодекса Российской Федерации проведен мониторинг качества финансового менеджмента администрации муниципального образования «Муринское городское поселение» Всеволожского муниципального района Ленинградской области за 202</w:t>
      </w:r>
      <w:r w:rsidR="00453E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69510F63" w14:textId="77777777" w:rsidR="00D84597" w:rsidRDefault="00D84597" w:rsidP="00C347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мониторинга </w:t>
      </w:r>
      <w:r w:rsidR="00496EB8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как главному администратору средств бюджета муниципального образования «Муринское городское поселение» Всеволожского муниципального района Ленинградской области была присвоена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(таблица 1), что соответствует высокому качеству финансового менеджмента.</w:t>
      </w:r>
    </w:p>
    <w:p w14:paraId="65C843D8" w14:textId="77777777" w:rsidR="00F70311" w:rsidRDefault="00F70311" w:rsidP="00C347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FB179" w14:textId="77777777" w:rsidR="00D84597" w:rsidRDefault="00D84597" w:rsidP="00C34702">
      <w:pPr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Интегральная оценка качества финансового менеджмента ГАБС</w:t>
      </w:r>
      <w:r w:rsidR="005F2D54">
        <w:rPr>
          <w:rFonts w:ascii="Times New Roman" w:hAnsi="Times New Roman"/>
          <w:sz w:val="28"/>
          <w:szCs w:val="28"/>
        </w:rPr>
        <w:t>.</w:t>
      </w:r>
    </w:p>
    <w:p w14:paraId="76A86065" w14:textId="77777777" w:rsidR="007F10E5" w:rsidRDefault="007F10E5" w:rsidP="00C34702">
      <w:pPr>
        <w:ind w:hanging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984"/>
        <w:gridCol w:w="1418"/>
      </w:tblGrid>
      <w:tr w:rsidR="005F2D54" w:rsidRPr="005F2D54" w14:paraId="3F639754" w14:textId="77777777" w:rsidTr="00C34702">
        <w:tc>
          <w:tcPr>
            <w:tcW w:w="4962" w:type="dxa"/>
            <w:vMerge w:val="restart"/>
          </w:tcPr>
          <w:p w14:paraId="3487030B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54">
              <w:rPr>
                <w:rFonts w:ascii="Times New Roman" w:hAnsi="Times New Roman"/>
                <w:sz w:val="24"/>
                <w:szCs w:val="24"/>
              </w:rPr>
              <w:t>ГАБС</w:t>
            </w:r>
          </w:p>
        </w:tc>
        <w:tc>
          <w:tcPr>
            <w:tcW w:w="4961" w:type="dxa"/>
            <w:gridSpan w:val="3"/>
          </w:tcPr>
          <w:p w14:paraId="3A8C9CAE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54">
              <w:rPr>
                <w:rFonts w:ascii="Times New Roman" w:hAnsi="Times New Roman"/>
                <w:sz w:val="24"/>
                <w:szCs w:val="24"/>
              </w:rPr>
              <w:t>Интегральная оценка, баллов</w:t>
            </w:r>
          </w:p>
        </w:tc>
      </w:tr>
      <w:tr w:rsidR="005F2D54" w:rsidRPr="005F2D54" w14:paraId="039C2F32" w14:textId="77777777" w:rsidTr="00C34702">
        <w:tc>
          <w:tcPr>
            <w:tcW w:w="4962" w:type="dxa"/>
            <w:vMerge/>
          </w:tcPr>
          <w:p w14:paraId="6AB13C5E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5CD99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54">
              <w:rPr>
                <w:rFonts w:ascii="Times New Roman" w:hAnsi="Times New Roman"/>
                <w:sz w:val="24"/>
                <w:szCs w:val="24"/>
              </w:rPr>
              <w:t>Отчетный год 202</w:t>
            </w:r>
            <w:r w:rsidR="00DB6A73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588D2C30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54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418" w:type="dxa"/>
          </w:tcPr>
          <w:p w14:paraId="3AE523D3" w14:textId="77777777" w:rsidR="005F2D54" w:rsidRPr="005F2D54" w:rsidRDefault="005F2D54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54">
              <w:rPr>
                <w:rFonts w:ascii="Times New Roman" w:hAnsi="Times New Roman"/>
                <w:sz w:val="24"/>
                <w:szCs w:val="24"/>
              </w:rPr>
              <w:t>Изменение за год</w:t>
            </w:r>
          </w:p>
        </w:tc>
      </w:tr>
      <w:tr w:rsidR="005F2D54" w:rsidRPr="005F2D54" w14:paraId="0BDF691B" w14:textId="77777777" w:rsidTr="00C34702">
        <w:tc>
          <w:tcPr>
            <w:tcW w:w="4962" w:type="dxa"/>
          </w:tcPr>
          <w:p w14:paraId="19CB46F7" w14:textId="77777777" w:rsidR="005F2D54" w:rsidRPr="005F2D54" w:rsidRDefault="00496EB8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  <w:r w:rsidR="005F2D54" w:rsidRPr="005F2D5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559" w:type="dxa"/>
          </w:tcPr>
          <w:p w14:paraId="266E353E" w14:textId="77777777" w:rsidR="005F2D54" w:rsidRPr="005F2D54" w:rsidRDefault="00496EB8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14:paraId="6CFD583F" w14:textId="77777777" w:rsidR="005F2D54" w:rsidRPr="005F2D54" w:rsidRDefault="00496EB8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4E2F6917" w14:textId="77777777" w:rsidR="005F2D54" w:rsidRPr="005F2D54" w:rsidRDefault="00496EB8" w:rsidP="005F2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0E5" w:rsidRPr="005F2D54" w14:paraId="09303E67" w14:textId="77777777" w:rsidTr="00C34702">
        <w:tc>
          <w:tcPr>
            <w:tcW w:w="4962" w:type="dxa"/>
          </w:tcPr>
          <w:p w14:paraId="14CFEACE" w14:textId="77777777" w:rsidR="007F10E5" w:rsidRPr="005F2D54" w:rsidRDefault="007F10E5" w:rsidP="007F1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559" w:type="dxa"/>
          </w:tcPr>
          <w:p w14:paraId="076FAAF2" w14:textId="77777777" w:rsidR="007F10E5" w:rsidRPr="007659AC" w:rsidRDefault="007F10E5" w:rsidP="007F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61FDABAD" w14:textId="77777777" w:rsidR="007F10E5" w:rsidRDefault="007F10E5" w:rsidP="007F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5BAFFAAA" w14:textId="77777777" w:rsidR="007F10E5" w:rsidRPr="005F2D54" w:rsidRDefault="007F10E5" w:rsidP="007F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3DC1A1AE" w14:textId="77777777" w:rsidTr="00C34702">
        <w:tc>
          <w:tcPr>
            <w:tcW w:w="4962" w:type="dxa"/>
          </w:tcPr>
          <w:p w14:paraId="1AD6A573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Качество планирования расходов: количество изменений в сводную бюджетную роспись бюджета Муринского городского поселения (за исключением целевых поступлений из областного и федерального бюджетов)</w:t>
            </w:r>
          </w:p>
        </w:tc>
        <w:tc>
          <w:tcPr>
            <w:tcW w:w="1559" w:type="dxa"/>
          </w:tcPr>
          <w:p w14:paraId="3795F0D0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0E4432B5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14:paraId="695A06BE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364F06B3" w14:textId="77777777" w:rsidTr="00C34702">
        <w:tc>
          <w:tcPr>
            <w:tcW w:w="4962" w:type="dxa"/>
          </w:tcPr>
          <w:p w14:paraId="48647750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бюджета Муринского городского поселения (за исключением целевых </w:t>
            </w:r>
            <w:r w:rsidRPr="000C7A29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поступлений из районного, областного и федерального бюджетов и внесений изменений в решение о бюджете Муринского городского поселения на соответствующий период)</w:t>
            </w:r>
          </w:p>
        </w:tc>
        <w:tc>
          <w:tcPr>
            <w:tcW w:w="1559" w:type="dxa"/>
          </w:tcPr>
          <w:p w14:paraId="51420F81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984" w:type="dxa"/>
          </w:tcPr>
          <w:p w14:paraId="6E59A0BA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14:paraId="7F77E9BD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3D6C4F72" w14:textId="77777777" w:rsidTr="00C34702">
        <w:tc>
          <w:tcPr>
            <w:tcW w:w="4962" w:type="dxa"/>
          </w:tcPr>
          <w:p w14:paraId="10C0D16E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559" w:type="dxa"/>
          </w:tcPr>
          <w:p w14:paraId="502F189D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</w:tcPr>
          <w:p w14:paraId="39D02CF5" w14:textId="77777777" w:rsidR="00F70311" w:rsidRPr="007659AC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02597864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05296135" w14:textId="77777777" w:rsidTr="00C34702">
        <w:tc>
          <w:tcPr>
            <w:tcW w:w="4962" w:type="dxa"/>
          </w:tcPr>
          <w:p w14:paraId="7F30AE51" w14:textId="77777777" w:rsidR="00F70311" w:rsidRPr="005F2D54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559" w:type="dxa"/>
          </w:tcPr>
          <w:p w14:paraId="099C4B78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14:paraId="4C07FFC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14:paraId="69EB5BB0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26876C7A" w14:textId="77777777" w:rsidTr="00C34702">
        <w:tc>
          <w:tcPr>
            <w:tcW w:w="4962" w:type="dxa"/>
          </w:tcPr>
          <w:p w14:paraId="1F82E1CF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559" w:type="dxa"/>
          </w:tcPr>
          <w:p w14:paraId="7B1D7479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340A419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14:paraId="08830C9C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035BE1EC" w14:textId="77777777" w:rsidTr="00C34702">
        <w:tc>
          <w:tcPr>
            <w:tcW w:w="4962" w:type="dxa"/>
          </w:tcPr>
          <w:p w14:paraId="345959D1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 xml:space="preserve">Доля своевременно утверждённых и внесённых изменений в планы-графики (далее – ПГ) </w:t>
            </w:r>
            <w:r w:rsidRPr="000C7A29">
              <w:rPr>
                <w:rFonts w:ascii="Times New Roman" w:hAnsi="Times New Roman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559" w:type="dxa"/>
          </w:tcPr>
          <w:p w14:paraId="62D7641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</w:tcPr>
          <w:p w14:paraId="7C26C26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75FCEEA3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6D5D63F4" w14:textId="77777777" w:rsidTr="00C34702">
        <w:tc>
          <w:tcPr>
            <w:tcW w:w="4962" w:type="dxa"/>
          </w:tcPr>
          <w:p w14:paraId="76F6D434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559" w:type="dxa"/>
          </w:tcPr>
          <w:p w14:paraId="7637B4F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52256AAD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07A42B2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1EFBBB83" w14:textId="77777777" w:rsidTr="00C34702">
        <w:tc>
          <w:tcPr>
            <w:tcW w:w="4962" w:type="dxa"/>
          </w:tcPr>
          <w:p w14:paraId="32D077D0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559" w:type="dxa"/>
          </w:tcPr>
          <w:p w14:paraId="0291226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14E2B4D3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583FB47B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38055A59" w14:textId="77777777" w:rsidTr="00C34702">
        <w:tc>
          <w:tcPr>
            <w:tcW w:w="4962" w:type="dxa"/>
          </w:tcPr>
          <w:p w14:paraId="3A55487D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Муринского городского поселения   информации о муниципальных программах и фактических результатах их реализации</w:t>
            </w:r>
          </w:p>
        </w:tc>
        <w:tc>
          <w:tcPr>
            <w:tcW w:w="1559" w:type="dxa"/>
          </w:tcPr>
          <w:p w14:paraId="74CAAA3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1DF0F2C6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3F9E53E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5050A8E6" w14:textId="77777777" w:rsidTr="00C34702">
        <w:tc>
          <w:tcPr>
            <w:tcW w:w="4962" w:type="dxa"/>
          </w:tcPr>
          <w:p w14:paraId="4067E039" w14:textId="77777777" w:rsidR="00F70311" w:rsidRPr="005F2D54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Исполнение бюджета Муринского городского поселения по расходам</w:t>
            </w:r>
          </w:p>
        </w:tc>
        <w:tc>
          <w:tcPr>
            <w:tcW w:w="1559" w:type="dxa"/>
          </w:tcPr>
          <w:p w14:paraId="6C11C704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010CDC4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656AE143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40E89769" w14:textId="77777777" w:rsidTr="00C34702">
        <w:tc>
          <w:tcPr>
            <w:tcW w:w="4962" w:type="dxa"/>
          </w:tcPr>
          <w:p w14:paraId="416C5187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 районного, областного и федерального бюджетов)</w:t>
            </w:r>
            <w:r w:rsidRPr="007A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8076F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14:paraId="225FDFA8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5313FD48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200A1514" w14:textId="77777777" w:rsidTr="00C34702">
        <w:tc>
          <w:tcPr>
            <w:tcW w:w="4962" w:type="dxa"/>
          </w:tcPr>
          <w:p w14:paraId="36057255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 учреждений в отчётном периоде</w:t>
            </w:r>
          </w:p>
        </w:tc>
        <w:tc>
          <w:tcPr>
            <w:tcW w:w="1559" w:type="dxa"/>
          </w:tcPr>
          <w:p w14:paraId="0A0002E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14:paraId="3D7BC0C4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4F9EF42C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03248049" w14:textId="77777777" w:rsidTr="00C34702">
        <w:tc>
          <w:tcPr>
            <w:tcW w:w="4962" w:type="dxa"/>
          </w:tcPr>
          <w:p w14:paraId="3DD7529E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559" w:type="dxa"/>
          </w:tcPr>
          <w:p w14:paraId="088953A4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14:paraId="175A5EB2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00EF9B46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5193B813" w14:textId="77777777" w:rsidTr="00C34702">
        <w:tc>
          <w:tcPr>
            <w:tcW w:w="4962" w:type="dxa"/>
          </w:tcPr>
          <w:p w14:paraId="2A5A184F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Эффективность управления дебиторской задолженностью с поставщиками и подрядчиками</w:t>
            </w:r>
          </w:p>
        </w:tc>
        <w:tc>
          <w:tcPr>
            <w:tcW w:w="1559" w:type="dxa"/>
          </w:tcPr>
          <w:p w14:paraId="5D635EFB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14:paraId="483FB14A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4E814DD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3422C085" w14:textId="77777777" w:rsidTr="00C34702">
        <w:tc>
          <w:tcPr>
            <w:tcW w:w="4962" w:type="dxa"/>
          </w:tcPr>
          <w:p w14:paraId="2B09869F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29">
              <w:rPr>
                <w:rFonts w:ascii="Times New Roman" w:hAnsi="Times New Roman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559" w:type="dxa"/>
          </w:tcPr>
          <w:p w14:paraId="277E53C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14:paraId="3462021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2EF62629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7A98F54D" w14:textId="77777777" w:rsidTr="00C34702">
        <w:tc>
          <w:tcPr>
            <w:tcW w:w="4962" w:type="dxa"/>
          </w:tcPr>
          <w:p w14:paraId="34408F0D" w14:textId="77777777" w:rsidR="00F70311" w:rsidRPr="005F2D54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Исполнение бюджета Муринского городского поселения по доходам</w:t>
            </w:r>
          </w:p>
        </w:tc>
        <w:tc>
          <w:tcPr>
            <w:tcW w:w="1559" w:type="dxa"/>
          </w:tcPr>
          <w:p w14:paraId="2BBCAC4F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002B0A3A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E33F70A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2046C135" w14:textId="77777777" w:rsidTr="00C34702">
        <w:tc>
          <w:tcPr>
            <w:tcW w:w="4962" w:type="dxa"/>
          </w:tcPr>
          <w:p w14:paraId="59077BCB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Эффективность работы с невыясненными поступлениями в бюджет Муринского городского поселения</w:t>
            </w:r>
          </w:p>
        </w:tc>
        <w:tc>
          <w:tcPr>
            <w:tcW w:w="1559" w:type="dxa"/>
          </w:tcPr>
          <w:p w14:paraId="0F2511A9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14:paraId="1C233DFD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0F0DD23A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41997051" w14:textId="77777777" w:rsidTr="00C34702">
        <w:tc>
          <w:tcPr>
            <w:tcW w:w="4962" w:type="dxa"/>
          </w:tcPr>
          <w:p w14:paraId="556EC254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 xml:space="preserve">Качество правовой базы ГАДБ по </w:t>
            </w:r>
            <w:r w:rsidRPr="0068617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администрированию доходов</w:t>
            </w:r>
          </w:p>
        </w:tc>
        <w:tc>
          <w:tcPr>
            <w:tcW w:w="1559" w:type="dxa"/>
          </w:tcPr>
          <w:p w14:paraId="1521F393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984" w:type="dxa"/>
          </w:tcPr>
          <w:p w14:paraId="528A06D3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14349DE1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096158CB" w14:textId="77777777" w:rsidTr="00C34702">
        <w:tc>
          <w:tcPr>
            <w:tcW w:w="4962" w:type="dxa"/>
          </w:tcPr>
          <w:p w14:paraId="3676BA61" w14:textId="77777777" w:rsidR="00F70311" w:rsidRPr="005F2D54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Учёт и отчётность</w:t>
            </w:r>
          </w:p>
        </w:tc>
        <w:tc>
          <w:tcPr>
            <w:tcW w:w="1559" w:type="dxa"/>
          </w:tcPr>
          <w:p w14:paraId="03D8E4BF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14:paraId="32CC2E22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14:paraId="5E129169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491E1613" w14:textId="77777777" w:rsidTr="00C34702">
        <w:tc>
          <w:tcPr>
            <w:tcW w:w="4962" w:type="dxa"/>
          </w:tcPr>
          <w:p w14:paraId="76980995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559" w:type="dxa"/>
          </w:tcPr>
          <w:p w14:paraId="41B48EEB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14:paraId="46DB958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710432C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07BBFC5B" w14:textId="77777777" w:rsidTr="00C34702">
        <w:tc>
          <w:tcPr>
            <w:tcW w:w="4962" w:type="dxa"/>
          </w:tcPr>
          <w:p w14:paraId="2241BFE1" w14:textId="77777777" w:rsidR="00F70311" w:rsidRPr="005F2D54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Контроль и аудит</w:t>
            </w:r>
          </w:p>
        </w:tc>
        <w:tc>
          <w:tcPr>
            <w:tcW w:w="1559" w:type="dxa"/>
          </w:tcPr>
          <w:p w14:paraId="4F6AE092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523625F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25B6846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23FC0600" w14:textId="77777777" w:rsidTr="00C34702">
        <w:tc>
          <w:tcPr>
            <w:tcW w:w="4962" w:type="dxa"/>
          </w:tcPr>
          <w:p w14:paraId="51CCE801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559" w:type="dxa"/>
          </w:tcPr>
          <w:p w14:paraId="3CED60F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14:paraId="79AEDDBE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447DAA53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4B30AEA3" w14:textId="77777777" w:rsidTr="00C34702">
        <w:tc>
          <w:tcPr>
            <w:tcW w:w="4962" w:type="dxa"/>
          </w:tcPr>
          <w:p w14:paraId="167EEB4B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9AC">
              <w:rPr>
                <w:rFonts w:ascii="Times New Roman" w:hAnsi="Times New Roman"/>
                <w:sz w:val="24"/>
                <w:szCs w:val="24"/>
              </w:rPr>
              <w:t>Прозрачность бюджетного процесса</w:t>
            </w:r>
          </w:p>
        </w:tc>
        <w:tc>
          <w:tcPr>
            <w:tcW w:w="1559" w:type="dxa"/>
          </w:tcPr>
          <w:p w14:paraId="1E15660E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14:paraId="35F8D757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2669FD8C" w14:textId="77777777" w:rsidR="00F70311" w:rsidRPr="005F2D54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311" w:rsidRPr="005F2D54" w14:paraId="4F2A7F86" w14:textId="77777777" w:rsidTr="00C34702">
        <w:tc>
          <w:tcPr>
            <w:tcW w:w="4962" w:type="dxa"/>
          </w:tcPr>
          <w:p w14:paraId="25A887B2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Муринского городского поселения муниципальных заданий на оказание муниципальных услуг (выполнение работ) муниципальными учреждениями Муринского городского поселения</w:t>
            </w:r>
          </w:p>
        </w:tc>
        <w:tc>
          <w:tcPr>
            <w:tcW w:w="1559" w:type="dxa"/>
          </w:tcPr>
          <w:p w14:paraId="4D6A816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09F2CF58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14:paraId="430919AB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0311" w:rsidRPr="005F2D54" w14:paraId="47A92005" w14:textId="77777777" w:rsidTr="00C34702">
        <w:tc>
          <w:tcPr>
            <w:tcW w:w="4962" w:type="dxa"/>
          </w:tcPr>
          <w:p w14:paraId="2C6B1FAF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Муринского городского поселения отчёта об исполнении муниципальных заданий на оказание муниципальных услуг (выполнение работ) муниципальными учреждениями Муринского городского поселения</w:t>
            </w:r>
          </w:p>
        </w:tc>
        <w:tc>
          <w:tcPr>
            <w:tcW w:w="1559" w:type="dxa"/>
          </w:tcPr>
          <w:p w14:paraId="24AB348C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570BACA2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14:paraId="75EAB185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0311" w:rsidRPr="005F2D54" w14:paraId="6B8CB057" w14:textId="77777777" w:rsidTr="00C34702">
        <w:tc>
          <w:tcPr>
            <w:tcW w:w="4962" w:type="dxa"/>
          </w:tcPr>
          <w:p w14:paraId="3E3E3E74" w14:textId="7777777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Утверждение в срок показателей планов финансово-хозяйственной деятельности или информации о бюджетных обязательствах Муринского городского поселения</w:t>
            </w:r>
          </w:p>
        </w:tc>
        <w:tc>
          <w:tcPr>
            <w:tcW w:w="1559" w:type="dxa"/>
          </w:tcPr>
          <w:p w14:paraId="74EEAB6C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033352C9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14:paraId="62FBA8EE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0311" w:rsidRPr="005F2D54" w14:paraId="107CC0CB" w14:textId="77777777" w:rsidTr="00C34702">
        <w:tc>
          <w:tcPr>
            <w:tcW w:w="4962" w:type="dxa"/>
          </w:tcPr>
          <w:p w14:paraId="0F55F072" w14:textId="1FF0CC67" w:rsidR="00F70311" w:rsidRPr="007659AC" w:rsidRDefault="00F70311" w:rsidP="00F7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B">
              <w:rPr>
                <w:rFonts w:ascii="Times New Roman" w:hAnsi="Times New Roman"/>
                <w:sz w:val="24"/>
                <w:szCs w:val="24"/>
              </w:rPr>
              <w:t>Размещение подведомственными муниципальными учреждениями сведений на официальном сайте Российской Федерации для размещения информации о государственных (муниципальных) учреждениях bus.gov.ru в соответствии с пунктом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её размещения на официальном сайте в сети ин</w:t>
            </w:r>
            <w:r w:rsidR="002922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F75EC0" wp14:editId="3C8A47C9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0"/>
                      <wp:wrapNone/>
                      <wp:docPr id="181737107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3046E3" w14:textId="77777777" w:rsidR="00F70311" w:rsidRPr="00F01240" w:rsidRDefault="00F70311" w:rsidP="004404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75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742.15pt;margin-top:64.05pt;width:28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" filled="f" stroked="f">
                      <v:textbox>
                        <w:txbxContent>
                          <w:p w14:paraId="7C3046E3" w14:textId="77777777" w:rsidR="00F70311" w:rsidRPr="00F01240" w:rsidRDefault="00F70311" w:rsidP="004404CE"/>
                        </w:txbxContent>
                      </v:textbox>
                    </v:shape>
                  </w:pict>
                </mc:Fallback>
              </mc:AlternateContent>
            </w:r>
            <w:r w:rsidRPr="0068617B">
              <w:rPr>
                <w:rFonts w:ascii="Times New Roman" w:hAnsi="Times New Roman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559" w:type="dxa"/>
          </w:tcPr>
          <w:p w14:paraId="6EF5FC2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6DD88ECF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14:paraId="27EB7F3B" w14:textId="77777777" w:rsidR="00F70311" w:rsidRDefault="00F70311" w:rsidP="00F70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14:paraId="1CFCF4BB" w14:textId="77777777" w:rsidR="005F2D54" w:rsidRPr="005F2D54" w:rsidRDefault="005F2D54" w:rsidP="005F2D54">
      <w:pPr>
        <w:ind w:left="927"/>
        <w:jc w:val="center"/>
        <w:rPr>
          <w:rFonts w:ascii="Times New Roman" w:hAnsi="Times New Roman"/>
          <w:sz w:val="24"/>
          <w:szCs w:val="24"/>
        </w:rPr>
      </w:pPr>
    </w:p>
    <w:p w14:paraId="2F455A44" w14:textId="77777777" w:rsidR="005F2D54" w:rsidRPr="00C34702" w:rsidRDefault="005F2D54" w:rsidP="005F2D54">
      <w:pPr>
        <w:jc w:val="both"/>
        <w:rPr>
          <w:rFonts w:ascii="Times New Roman" w:hAnsi="Times New Roman"/>
          <w:sz w:val="28"/>
          <w:szCs w:val="28"/>
        </w:rPr>
      </w:pPr>
      <w:r w:rsidRPr="00C34702">
        <w:rPr>
          <w:rFonts w:ascii="Times New Roman" w:hAnsi="Times New Roman"/>
          <w:sz w:val="28"/>
          <w:szCs w:val="28"/>
        </w:rPr>
        <w:t xml:space="preserve">*Степень качества финансового менеджмента ГАБС присваивается в зависимости от значений интегральных оценок качества финансового менеджмента ГАБС в соответствии со следующей таблицей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2"/>
        <w:gridCol w:w="6097"/>
      </w:tblGrid>
      <w:tr w:rsidR="005F2D54" w:rsidRPr="00C34702" w14:paraId="5287EE22" w14:textId="77777777" w:rsidTr="00C34702">
        <w:tc>
          <w:tcPr>
            <w:tcW w:w="3652" w:type="dxa"/>
          </w:tcPr>
          <w:p w14:paraId="12A49C40" w14:textId="77777777" w:rsidR="005F2D54" w:rsidRPr="00C34702" w:rsidRDefault="005F2D54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</w:rPr>
              <w:lastRenderedPageBreak/>
              <w:t>Интервалы интегральной оценки</w:t>
            </w:r>
          </w:p>
        </w:tc>
        <w:tc>
          <w:tcPr>
            <w:tcW w:w="6253" w:type="dxa"/>
          </w:tcPr>
          <w:p w14:paraId="500B09E8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</w:rPr>
              <w:t>Степень качества финансового менеджмента</w:t>
            </w:r>
          </w:p>
        </w:tc>
      </w:tr>
      <w:tr w:rsidR="005F2D54" w:rsidRPr="00C34702" w14:paraId="27A3F104" w14:textId="77777777" w:rsidTr="00C34702">
        <w:tc>
          <w:tcPr>
            <w:tcW w:w="3652" w:type="dxa"/>
          </w:tcPr>
          <w:p w14:paraId="43C77AEC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4702">
              <w:rPr>
                <w:rFonts w:ascii="Cambria Math" w:hAnsi="Cambria Math"/>
                <w:sz w:val="24"/>
                <w:szCs w:val="24"/>
                <w:lang w:val="en-US"/>
              </w:rPr>
              <w:t>&gt;</w:t>
            </w:r>
            <w:r w:rsidRPr="00C3470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53" w:type="dxa"/>
          </w:tcPr>
          <w:p w14:paraId="56C39124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4702">
              <w:rPr>
                <w:rFonts w:ascii="Times New Roman" w:hAnsi="Times New Roman"/>
                <w:sz w:val="24"/>
                <w:szCs w:val="24"/>
              </w:rPr>
              <w:t xml:space="preserve"> – высокое качество финансового менеджмента</w:t>
            </w:r>
          </w:p>
        </w:tc>
      </w:tr>
      <w:tr w:rsidR="005F2D54" w:rsidRPr="00C34702" w14:paraId="03A6BCFB" w14:textId="77777777" w:rsidTr="00C34702">
        <w:tc>
          <w:tcPr>
            <w:tcW w:w="3652" w:type="dxa"/>
          </w:tcPr>
          <w:p w14:paraId="5761DF3F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702">
              <w:rPr>
                <w:rFonts w:ascii="Times New Roman" w:hAnsi="Times New Roman"/>
                <w:sz w:val="24"/>
                <w:szCs w:val="24"/>
              </w:rPr>
              <w:t>70</w:t>
            </w:r>
            <w:r w:rsidRPr="00C34702">
              <w:rPr>
                <w:rFonts w:ascii="Cambria Math" w:hAnsi="Cambria Math"/>
                <w:sz w:val="24"/>
                <w:szCs w:val="24"/>
              </w:rPr>
              <w:t>&lt;</w:t>
            </w:r>
            <w:r w:rsidRPr="00C34702">
              <w:rPr>
                <w:rFonts w:ascii="Cambria Math" w:hAnsi="Cambria Math"/>
                <w:sz w:val="24"/>
                <w:szCs w:val="24"/>
                <w:lang w:val="en-US"/>
              </w:rPr>
              <w:t>E≤85</w:t>
            </w:r>
          </w:p>
        </w:tc>
        <w:tc>
          <w:tcPr>
            <w:tcW w:w="6253" w:type="dxa"/>
          </w:tcPr>
          <w:p w14:paraId="60BE67F3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702">
              <w:rPr>
                <w:rFonts w:ascii="Times New Roman" w:hAnsi="Times New Roman"/>
                <w:sz w:val="24"/>
                <w:szCs w:val="24"/>
              </w:rPr>
              <w:t xml:space="preserve"> – надлежащее качество финансового менеджмента</w:t>
            </w:r>
          </w:p>
        </w:tc>
      </w:tr>
      <w:tr w:rsidR="005F2D54" w:rsidRPr="00C34702" w14:paraId="411E0CB3" w14:textId="77777777" w:rsidTr="00C34702">
        <w:tc>
          <w:tcPr>
            <w:tcW w:w="3652" w:type="dxa"/>
          </w:tcPr>
          <w:p w14:paraId="2EACABA5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4702">
              <w:rPr>
                <w:rFonts w:ascii="Cambria Math" w:hAnsi="Cambria Math"/>
                <w:sz w:val="24"/>
                <w:szCs w:val="24"/>
                <w:lang w:val="en-US"/>
              </w:rPr>
              <w:t>≤</w:t>
            </w: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253" w:type="dxa"/>
          </w:tcPr>
          <w:p w14:paraId="3141B734" w14:textId="77777777" w:rsidR="005F2D54" w:rsidRPr="00C34702" w:rsidRDefault="00C34702" w:rsidP="005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4702">
              <w:rPr>
                <w:rFonts w:ascii="Times New Roman" w:hAnsi="Times New Roman"/>
                <w:sz w:val="24"/>
                <w:szCs w:val="24"/>
              </w:rPr>
              <w:t xml:space="preserve"> – ненадлежащее качество финансового менеджмента</w:t>
            </w:r>
          </w:p>
        </w:tc>
      </w:tr>
    </w:tbl>
    <w:p w14:paraId="38D9FB74" w14:textId="77777777" w:rsidR="005F2D54" w:rsidRDefault="005F2D54" w:rsidP="005F2D54">
      <w:pPr>
        <w:jc w:val="both"/>
        <w:rPr>
          <w:rFonts w:ascii="Times New Roman" w:hAnsi="Times New Roman"/>
          <w:sz w:val="24"/>
          <w:szCs w:val="24"/>
        </w:rPr>
      </w:pPr>
    </w:p>
    <w:p w14:paraId="1D907579" w14:textId="77777777" w:rsidR="00DB6A73" w:rsidRPr="00F70311" w:rsidRDefault="00DB6A73" w:rsidP="005F2D54">
      <w:pPr>
        <w:jc w:val="both"/>
        <w:rPr>
          <w:rFonts w:ascii="Times New Roman" w:hAnsi="Times New Roman"/>
          <w:sz w:val="28"/>
          <w:szCs w:val="28"/>
        </w:rPr>
      </w:pPr>
      <w:r w:rsidRPr="00F70311">
        <w:rPr>
          <w:rFonts w:ascii="Times New Roman" w:hAnsi="Times New Roman"/>
          <w:sz w:val="28"/>
          <w:szCs w:val="28"/>
        </w:rPr>
        <w:t>Начальник отдела финансового управления                        В.А. Туманов</w:t>
      </w:r>
    </w:p>
    <w:sectPr w:rsidR="00DB6A73" w:rsidRPr="00F703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DE5"/>
    <w:multiLevelType w:val="hybridMultilevel"/>
    <w:tmpl w:val="FFFFFFFF"/>
    <w:lvl w:ilvl="0" w:tplc="4AF867C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8746D53"/>
    <w:multiLevelType w:val="hybridMultilevel"/>
    <w:tmpl w:val="FFFFFFFF"/>
    <w:lvl w:ilvl="0" w:tplc="EDF45EC2">
      <w:numFmt w:val="bullet"/>
      <w:lvlText w:val="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424692"/>
    <w:multiLevelType w:val="hybridMultilevel"/>
    <w:tmpl w:val="FFFFFFFF"/>
    <w:lvl w:ilvl="0" w:tplc="94C24C3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977035705">
    <w:abstractNumId w:val="2"/>
  </w:num>
  <w:num w:numId="2" w16cid:durableId="1269239521">
    <w:abstractNumId w:val="0"/>
  </w:num>
  <w:num w:numId="3" w16cid:durableId="192341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3"/>
    <w:rsid w:val="000A2EE3"/>
    <w:rsid w:val="000C7A29"/>
    <w:rsid w:val="001A3077"/>
    <w:rsid w:val="00292236"/>
    <w:rsid w:val="002A54A1"/>
    <w:rsid w:val="003A3A42"/>
    <w:rsid w:val="004404CE"/>
    <w:rsid w:val="00453ED8"/>
    <w:rsid w:val="00496EB8"/>
    <w:rsid w:val="005F2D54"/>
    <w:rsid w:val="0068617B"/>
    <w:rsid w:val="00736656"/>
    <w:rsid w:val="007659AC"/>
    <w:rsid w:val="007664E8"/>
    <w:rsid w:val="007A4D45"/>
    <w:rsid w:val="007F10E5"/>
    <w:rsid w:val="00AB3DD6"/>
    <w:rsid w:val="00C34702"/>
    <w:rsid w:val="00CA6963"/>
    <w:rsid w:val="00D84597"/>
    <w:rsid w:val="00DB6A73"/>
    <w:rsid w:val="00E97750"/>
    <w:rsid w:val="00F01240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6420"/>
  <w14:defaultImageDpi w14:val="0"/>
  <w15:docId w15:val="{3D640E84-35D2-44D2-8035-C8A287A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E3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5F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2023-05-03T10:41:00Z</cp:lastPrinted>
  <dcterms:created xsi:type="dcterms:W3CDTF">2024-02-14T08:00:00Z</dcterms:created>
  <dcterms:modified xsi:type="dcterms:W3CDTF">2024-02-14T08:00:00Z</dcterms:modified>
</cp:coreProperties>
</file>