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F2EA" w14:textId="77777777" w:rsidR="00864475" w:rsidRDefault="00864475" w:rsidP="00864475">
      <w:pPr>
        <w:pStyle w:val="Default"/>
      </w:pPr>
      <w:bookmarkStart w:id="0" w:name="_Toc461786479"/>
    </w:p>
    <w:p w14:paraId="2A19EBB4" w14:textId="77777777" w:rsidR="00864475" w:rsidRPr="00864475" w:rsidRDefault="00864475" w:rsidP="00864475">
      <w:pPr>
        <w:pStyle w:val="Default"/>
        <w:jc w:val="right"/>
      </w:pPr>
      <w:r w:rsidRPr="00864475">
        <w:t>Приложение</w:t>
      </w:r>
    </w:p>
    <w:p w14:paraId="3F74130F" w14:textId="77777777" w:rsidR="00864475" w:rsidRPr="00864475" w:rsidRDefault="00864475" w:rsidP="00864475">
      <w:pPr>
        <w:pStyle w:val="Default"/>
        <w:jc w:val="right"/>
      </w:pPr>
      <w:r w:rsidRPr="00864475">
        <w:t>к постановлению администрации</w:t>
      </w:r>
    </w:p>
    <w:p w14:paraId="2D4836DB" w14:textId="6F0C5A20" w:rsidR="00864475" w:rsidRPr="00864475" w:rsidRDefault="00864475" w:rsidP="00864475">
      <w:pPr>
        <w:ind w:left="360" w:hanging="360"/>
        <w:jc w:val="right"/>
        <w:rPr>
          <w:sz w:val="24"/>
          <w:szCs w:val="24"/>
        </w:rPr>
      </w:pPr>
      <w:r w:rsidRPr="00864475">
        <w:rPr>
          <w:sz w:val="24"/>
          <w:szCs w:val="24"/>
        </w:rPr>
        <w:t xml:space="preserve">«Муринского городского поселения» </w:t>
      </w:r>
    </w:p>
    <w:p w14:paraId="69B3FF14" w14:textId="77777777" w:rsidR="00864475" w:rsidRPr="00864475" w:rsidRDefault="00864475" w:rsidP="00864475">
      <w:pPr>
        <w:ind w:left="360" w:hanging="360"/>
        <w:jc w:val="right"/>
        <w:rPr>
          <w:sz w:val="24"/>
          <w:szCs w:val="24"/>
        </w:rPr>
      </w:pPr>
      <w:r w:rsidRPr="00864475">
        <w:rPr>
          <w:sz w:val="24"/>
          <w:szCs w:val="24"/>
        </w:rPr>
        <w:t xml:space="preserve">Всеволожского муниципального </w:t>
      </w:r>
    </w:p>
    <w:p w14:paraId="166B294C" w14:textId="466D49C6" w:rsidR="00864475" w:rsidRDefault="00864475" w:rsidP="00864475">
      <w:pPr>
        <w:ind w:left="360" w:hanging="360"/>
        <w:jc w:val="right"/>
        <w:rPr>
          <w:sz w:val="24"/>
          <w:szCs w:val="24"/>
        </w:rPr>
      </w:pPr>
      <w:r w:rsidRPr="00864475">
        <w:rPr>
          <w:sz w:val="24"/>
          <w:szCs w:val="24"/>
        </w:rPr>
        <w:t>района Ленинградской области</w:t>
      </w:r>
    </w:p>
    <w:p w14:paraId="007E4BBA" w14:textId="3834FC4D" w:rsidR="003736B5" w:rsidRDefault="003736B5" w:rsidP="00864475">
      <w:pPr>
        <w:ind w:left="360" w:hanging="36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5B16FA">
        <w:rPr>
          <w:sz w:val="24"/>
          <w:szCs w:val="24"/>
        </w:rPr>
        <w:t xml:space="preserve"> 19.02.2024 </w:t>
      </w:r>
      <w:r>
        <w:rPr>
          <w:sz w:val="24"/>
          <w:szCs w:val="24"/>
        </w:rPr>
        <w:t>№_</w:t>
      </w:r>
      <w:r w:rsidR="005B16FA">
        <w:rPr>
          <w:sz w:val="24"/>
          <w:szCs w:val="24"/>
        </w:rPr>
        <w:t>68</w:t>
      </w:r>
    </w:p>
    <w:p w14:paraId="6B0AF7D8" w14:textId="77777777" w:rsidR="00864475" w:rsidRPr="00864475" w:rsidRDefault="00864475" w:rsidP="00864475">
      <w:pPr>
        <w:ind w:left="360" w:hanging="360"/>
        <w:jc w:val="right"/>
        <w:rPr>
          <w:sz w:val="24"/>
          <w:szCs w:val="24"/>
        </w:rPr>
      </w:pPr>
    </w:p>
    <w:p w14:paraId="2FEE3E91" w14:textId="4E7FFAED" w:rsidR="003E18E6" w:rsidRPr="003E18E6" w:rsidRDefault="003E18E6" w:rsidP="007A535A">
      <w:pPr>
        <w:pStyle w:val="1"/>
        <w:numPr>
          <w:ilvl w:val="0"/>
          <w:numId w:val="20"/>
        </w:numPr>
      </w:pPr>
      <w:r w:rsidRPr="003E18E6">
        <w:t>Условия фо</w:t>
      </w:r>
      <w:r>
        <w:t>рмирования Бюджетного прогноза</w:t>
      </w:r>
      <w:r w:rsidR="00644E77" w:rsidRPr="00644E77">
        <w:t xml:space="preserve"> </w:t>
      </w:r>
      <w:r w:rsidR="00481AB9" w:rsidRPr="00481AB9">
        <w:t xml:space="preserve">муниципального образования «Муринское </w:t>
      </w:r>
      <w:r w:rsidR="00AE0271">
        <w:t>городское поселение</w:t>
      </w:r>
      <w:r w:rsidR="00481AB9" w:rsidRPr="00481AB9">
        <w:t xml:space="preserve">» Всеволожского муниципального района </w:t>
      </w:r>
      <w:r w:rsidR="00644E77" w:rsidRPr="00644E77">
        <w:t>Ленинградской области на период до 20</w:t>
      </w:r>
      <w:r w:rsidR="0050563A">
        <w:t>29</w:t>
      </w:r>
      <w:r w:rsidR="00644E77" w:rsidRPr="00644E77">
        <w:t xml:space="preserve"> года</w:t>
      </w:r>
      <w:bookmarkEnd w:id="0"/>
    </w:p>
    <w:p w14:paraId="6107056A" w14:textId="73CF7EE5" w:rsidR="003E18E6" w:rsidRDefault="00E25616" w:rsidP="00E25616">
      <w:pPr>
        <w:ind w:firstLine="360"/>
        <w:jc w:val="both"/>
        <w:rPr>
          <w:szCs w:val="28"/>
        </w:rPr>
      </w:pPr>
      <w:r>
        <w:t>Основные показатели прогноза социально-экономического развития Муринского городского поселения Всеволожского муниципального района Ленинградской области на период до 20</w:t>
      </w:r>
      <w:r w:rsidR="004C2513">
        <w:t>34</w:t>
      </w:r>
      <w:r>
        <w:t xml:space="preserve"> года представлены в таблице.</w:t>
      </w:r>
    </w:p>
    <w:p w14:paraId="0A7F6EE2" w14:textId="77777777" w:rsidR="00E25616" w:rsidRDefault="0050563A" w:rsidP="0050563A">
      <w:pPr>
        <w:ind w:firstLine="709"/>
        <w:jc w:val="both"/>
        <w:rPr>
          <w:szCs w:val="28"/>
        </w:rPr>
      </w:pPr>
      <w:bookmarkStart w:id="1" w:name="_Toc461786480"/>
      <w:r w:rsidRPr="0050563A">
        <w:rPr>
          <w:szCs w:val="28"/>
        </w:rPr>
        <w:t xml:space="preserve">В целом в долгосрочной перспективе на период до 2029 года прогнозируется положительная динамика социально-экономического развития </w:t>
      </w:r>
      <w:r w:rsidR="007A535A">
        <w:rPr>
          <w:szCs w:val="28"/>
        </w:rPr>
        <w:t>Муринского</w:t>
      </w:r>
      <w:r w:rsidRPr="0050563A">
        <w:rPr>
          <w:szCs w:val="28"/>
        </w:rPr>
        <w:t xml:space="preserve"> городского поселения Всеволожского муниципального района Ленинградской области. </w:t>
      </w:r>
    </w:p>
    <w:p w14:paraId="46AC4366" w14:textId="77777777" w:rsidR="00E25616" w:rsidRDefault="0050563A" w:rsidP="0050563A">
      <w:pPr>
        <w:ind w:firstLine="709"/>
        <w:jc w:val="both"/>
        <w:rPr>
          <w:szCs w:val="28"/>
        </w:rPr>
      </w:pPr>
      <w:r w:rsidRPr="0050563A">
        <w:rPr>
          <w:szCs w:val="28"/>
        </w:rPr>
        <w:t xml:space="preserve">Изменение сценарных условий функционирования экономики России в зависимости от внешних и внутренних условий развития, экономических и эпидемиологических факторов, сложившаяся текущая </w:t>
      </w:r>
      <w:r w:rsidR="007A535A" w:rsidRPr="0050563A">
        <w:rPr>
          <w:szCs w:val="28"/>
        </w:rPr>
        <w:t>социально-экономическая</w:t>
      </w:r>
      <w:r w:rsidRPr="0050563A">
        <w:rPr>
          <w:szCs w:val="28"/>
        </w:rPr>
        <w:t xml:space="preserve"> ситуация в Ленинградской области привел</w:t>
      </w:r>
      <w:r w:rsidR="007A535A">
        <w:rPr>
          <w:szCs w:val="28"/>
        </w:rPr>
        <w:t>а</w:t>
      </w:r>
      <w:r w:rsidRPr="0050563A">
        <w:rPr>
          <w:szCs w:val="28"/>
        </w:rPr>
        <w:t xml:space="preserve"> к обоснованной корректировке прогнозных показателей социально-экономического развития </w:t>
      </w:r>
      <w:r w:rsidR="007A535A">
        <w:rPr>
          <w:szCs w:val="28"/>
        </w:rPr>
        <w:t>Муринского</w:t>
      </w:r>
      <w:r w:rsidRPr="0050563A">
        <w:rPr>
          <w:szCs w:val="28"/>
        </w:rPr>
        <w:t xml:space="preserve"> городского поселения Всеволожского муниципального района Ленинградской области на период 2024 - 2029 годов. </w:t>
      </w:r>
    </w:p>
    <w:p w14:paraId="7BEA2C4E" w14:textId="4615A9B3" w:rsidR="00E25616" w:rsidRDefault="0050563A" w:rsidP="0050563A">
      <w:pPr>
        <w:ind w:firstLine="709"/>
        <w:jc w:val="both"/>
        <w:rPr>
          <w:szCs w:val="28"/>
        </w:rPr>
      </w:pPr>
      <w:r w:rsidRPr="0050563A">
        <w:rPr>
          <w:szCs w:val="28"/>
        </w:rPr>
        <w:t xml:space="preserve">Интенсивность миграционного прироста, продолжает увеличиваться по причине строительства и введения в действие жилых домов. В связи с этим численность населения </w:t>
      </w:r>
      <w:r w:rsidR="007A535A">
        <w:rPr>
          <w:szCs w:val="28"/>
        </w:rPr>
        <w:t>Муринского</w:t>
      </w:r>
      <w:r w:rsidRPr="0050563A">
        <w:rPr>
          <w:szCs w:val="28"/>
        </w:rPr>
        <w:t xml:space="preserve"> городского поселения Всеволожского муниципального района Ленинградской области увеличивается на 15 процентов ежегодно и составит к 2029 году </w:t>
      </w:r>
      <w:r w:rsidR="00E25616">
        <w:rPr>
          <w:szCs w:val="28"/>
        </w:rPr>
        <w:t>156,0</w:t>
      </w:r>
      <w:r w:rsidRPr="0050563A">
        <w:rPr>
          <w:szCs w:val="28"/>
        </w:rPr>
        <w:t xml:space="preserve"> тыс. человек. </w:t>
      </w:r>
      <w:r w:rsidR="00A531E9" w:rsidRPr="0050563A">
        <w:rPr>
          <w:szCs w:val="28"/>
        </w:rPr>
        <w:t xml:space="preserve">Этот фактор окажет положительное влияние на рост валового регионального продукта и налоговых поступлений в бюджет </w:t>
      </w:r>
      <w:r w:rsidR="00A531E9">
        <w:rPr>
          <w:szCs w:val="28"/>
        </w:rPr>
        <w:t>Муринского</w:t>
      </w:r>
      <w:r w:rsidR="00A531E9" w:rsidRPr="0050563A">
        <w:rPr>
          <w:szCs w:val="28"/>
        </w:rPr>
        <w:t xml:space="preserve"> городского поселения Всеволожского муниципального района Ленинградской области и консолидированный бюджет Ленинградской области</w:t>
      </w:r>
      <w:r w:rsidR="00A531E9">
        <w:rPr>
          <w:szCs w:val="28"/>
        </w:rPr>
        <w:t>.</w:t>
      </w:r>
    </w:p>
    <w:p w14:paraId="6DE552D3" w14:textId="77777777" w:rsidR="00A531E9" w:rsidRDefault="00A531E9" w:rsidP="0050563A">
      <w:pPr>
        <w:ind w:firstLine="709"/>
        <w:jc w:val="both"/>
      </w:pPr>
      <w:r>
        <w:t xml:space="preserve">Бюджетная политика Муринского городского поселения Всеволожского муниципального района Ленинградской области на протяжении многих лет отличается консервативным подходом к планированию доходов и расходов бюджета. Это позволяет не допустить возникновения дефицита бюджета и муниципального долга. </w:t>
      </w:r>
    </w:p>
    <w:p w14:paraId="2671D613" w14:textId="77777777" w:rsidR="0083389D" w:rsidRDefault="00A531E9" w:rsidP="0050563A">
      <w:pPr>
        <w:ind w:firstLine="709"/>
        <w:jc w:val="both"/>
      </w:pPr>
      <w:r>
        <w:t xml:space="preserve">Основными подходами к формированию бюджетной и налоговой политики Муринского городского поселения Всеволожского муниципального района Ленинградской области на долгосрочный период являются: </w:t>
      </w:r>
    </w:p>
    <w:p w14:paraId="3C3CF788" w14:textId="77777777" w:rsidR="0083389D" w:rsidRDefault="0083389D" w:rsidP="0050563A">
      <w:pPr>
        <w:ind w:firstLine="709"/>
        <w:jc w:val="both"/>
      </w:pPr>
      <w:r>
        <w:t xml:space="preserve">- </w:t>
      </w:r>
      <w:r w:rsidR="00A531E9">
        <w:t xml:space="preserve">проведение консервативной бюджетной политики органами местного самоуправления, одним из атрибутов которой является недопущение роста дефицита бюджета и наращивания долговой нагрузки; </w:t>
      </w:r>
    </w:p>
    <w:p w14:paraId="0BDCF04B" w14:textId="77777777" w:rsidR="0083389D" w:rsidRDefault="0083389D" w:rsidP="0050563A">
      <w:pPr>
        <w:ind w:firstLine="709"/>
        <w:jc w:val="both"/>
      </w:pPr>
      <w:r>
        <w:lastRenderedPageBreak/>
        <w:t xml:space="preserve">- </w:t>
      </w:r>
      <w:r w:rsidR="00A531E9">
        <w:t xml:space="preserve">постоянная реализация мероприятий, направленных на повышение эффективности расходов местного бюджета; </w:t>
      </w:r>
    </w:p>
    <w:p w14:paraId="21298E26" w14:textId="77777777" w:rsidR="0083389D" w:rsidRDefault="0083389D" w:rsidP="0050563A">
      <w:pPr>
        <w:ind w:firstLine="709"/>
        <w:jc w:val="both"/>
      </w:pPr>
      <w:r>
        <w:t xml:space="preserve">- </w:t>
      </w:r>
      <w:r w:rsidR="00A531E9">
        <w:t xml:space="preserve">выявление, актуализация и легализация объектов недвижимого имущества и земельных участков на территории поселения, с последующей постановкой на налоговый учет; </w:t>
      </w:r>
    </w:p>
    <w:p w14:paraId="074E64C0" w14:textId="77777777" w:rsidR="0083389D" w:rsidRDefault="0083389D" w:rsidP="0083389D">
      <w:pPr>
        <w:ind w:left="360" w:firstLine="349"/>
        <w:jc w:val="both"/>
      </w:pPr>
      <w:r>
        <w:t xml:space="preserve">- </w:t>
      </w:r>
      <w:r w:rsidR="00A531E9">
        <w:t>закрепление и развитие положительных темпов экономического роста;</w:t>
      </w:r>
    </w:p>
    <w:p w14:paraId="09619B3C" w14:textId="008CFF14" w:rsidR="0083389D" w:rsidRDefault="0083389D" w:rsidP="0083389D">
      <w:pPr>
        <w:ind w:firstLine="709"/>
        <w:jc w:val="both"/>
      </w:pPr>
      <w:r>
        <w:t xml:space="preserve">- </w:t>
      </w:r>
      <w:r w:rsidR="00A531E9">
        <w:t xml:space="preserve">последовательное сокращение неэффективных налоговых расходов. </w:t>
      </w:r>
    </w:p>
    <w:p w14:paraId="25C67FD5" w14:textId="77777777" w:rsidR="0083389D" w:rsidRDefault="00A531E9" w:rsidP="0083389D">
      <w:pPr>
        <w:ind w:firstLine="709"/>
        <w:jc w:val="both"/>
      </w:pPr>
      <w:r>
        <w:t xml:space="preserve">Бюджетный прогноз разработан в базовом варианте, характеризует развитие экономики в условиях стабильных инфляционных процессов с сохранением консервативных изменений внешних условий, учитывает реализацию комплекса мер, направленных на обеспечение ускорения темпов экономического роста, качественное повышение уровня жизни населения с ориентиром на достижение целевого уровня показателей, 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с учетом прогноза социально-экономического развития </w:t>
      </w:r>
      <w:r w:rsidR="0083389D">
        <w:t>Муринского</w:t>
      </w:r>
      <w:r>
        <w:t xml:space="preserve"> городского поселения Всеволожского муниципального района Ленинградской области на долгосрочный период. </w:t>
      </w:r>
    </w:p>
    <w:p w14:paraId="75156F80" w14:textId="77777777" w:rsidR="0083389D" w:rsidRDefault="00A531E9" w:rsidP="0083389D">
      <w:pPr>
        <w:ind w:firstLine="709"/>
        <w:jc w:val="both"/>
      </w:pPr>
      <w:r>
        <w:t xml:space="preserve">Достижение показателей бюджетного прогноза сопряжено с определенными рисками: </w:t>
      </w:r>
    </w:p>
    <w:p w14:paraId="45A490A2" w14:textId="77777777" w:rsidR="0083389D" w:rsidRDefault="0083389D" w:rsidP="0083389D">
      <w:pPr>
        <w:ind w:firstLine="709"/>
        <w:jc w:val="both"/>
      </w:pPr>
      <w:r>
        <w:t xml:space="preserve">- </w:t>
      </w:r>
      <w:r w:rsidR="00A531E9">
        <w:t xml:space="preserve">внесение в бюджетное и налоговое законодательство Российской Федерации изменений, влияющих на доходную базу региональных и местных бюджетов; </w:t>
      </w:r>
    </w:p>
    <w:p w14:paraId="7F587F0E" w14:textId="77777777" w:rsidR="0083389D" w:rsidRDefault="0083389D" w:rsidP="0083389D">
      <w:pPr>
        <w:ind w:left="360" w:firstLine="349"/>
        <w:jc w:val="both"/>
      </w:pPr>
      <w:r>
        <w:t xml:space="preserve">- </w:t>
      </w:r>
      <w:r w:rsidR="00A531E9">
        <w:t xml:space="preserve">принятие на федеральном уровне нормативных правовых актов, приводящих к росту расходной части бюджетов субъектов Российской Федерации и местных бюджетов, в течение долгосрочного периода бюджетного планирования. </w:t>
      </w:r>
    </w:p>
    <w:p w14:paraId="79B50E7F" w14:textId="5A1554C9" w:rsidR="00A531E9" w:rsidRPr="0083389D" w:rsidRDefault="00A531E9" w:rsidP="0083389D">
      <w:pPr>
        <w:ind w:firstLine="709"/>
        <w:jc w:val="both"/>
      </w:pPr>
      <w:r>
        <w:t>Бюджетный прогноз сформирован по принципу сбалансированности бюджета</w:t>
      </w:r>
      <w:r w:rsidR="0083389D">
        <w:t>. О</w:t>
      </w:r>
      <w:r>
        <w:t>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</w:t>
      </w:r>
      <w:r w:rsidR="0083389D">
        <w:t>а</w:t>
      </w:r>
      <w:r>
        <w:t>.</w:t>
      </w:r>
    </w:p>
    <w:p w14:paraId="413BFB61" w14:textId="77777777" w:rsidR="00A531E9" w:rsidRDefault="00A531E9" w:rsidP="0050563A">
      <w:pPr>
        <w:ind w:firstLine="709"/>
        <w:jc w:val="both"/>
        <w:rPr>
          <w:szCs w:val="28"/>
        </w:rPr>
      </w:pPr>
    </w:p>
    <w:p w14:paraId="540E295F" w14:textId="77777777" w:rsidR="006E4D94" w:rsidRDefault="006E4D94" w:rsidP="0050563A">
      <w:pPr>
        <w:ind w:firstLine="709"/>
        <w:jc w:val="both"/>
        <w:rPr>
          <w:szCs w:val="28"/>
        </w:rPr>
      </w:pPr>
    </w:p>
    <w:p w14:paraId="073053FD" w14:textId="77777777" w:rsidR="006E4D94" w:rsidRDefault="006E4D94" w:rsidP="0050563A">
      <w:pPr>
        <w:ind w:firstLine="709"/>
        <w:jc w:val="both"/>
        <w:rPr>
          <w:szCs w:val="28"/>
        </w:rPr>
      </w:pPr>
    </w:p>
    <w:p w14:paraId="3CCBB53E" w14:textId="77777777" w:rsidR="006E4D94" w:rsidRDefault="006E4D94" w:rsidP="0050563A">
      <w:pPr>
        <w:ind w:firstLine="709"/>
        <w:jc w:val="both"/>
        <w:rPr>
          <w:szCs w:val="28"/>
        </w:rPr>
      </w:pPr>
    </w:p>
    <w:p w14:paraId="688B6162" w14:textId="77777777" w:rsidR="006E4D94" w:rsidRDefault="006E4D94" w:rsidP="0050563A">
      <w:pPr>
        <w:ind w:firstLine="709"/>
        <w:jc w:val="both"/>
        <w:rPr>
          <w:szCs w:val="28"/>
        </w:rPr>
      </w:pPr>
    </w:p>
    <w:p w14:paraId="6A2C78EC" w14:textId="77777777" w:rsidR="006E4D94" w:rsidRDefault="006E4D94" w:rsidP="0050563A">
      <w:pPr>
        <w:ind w:firstLine="709"/>
        <w:jc w:val="both"/>
        <w:rPr>
          <w:szCs w:val="28"/>
        </w:rPr>
      </w:pPr>
    </w:p>
    <w:p w14:paraId="5F0DB828" w14:textId="77777777" w:rsidR="006E4D94" w:rsidRDefault="006E4D94" w:rsidP="0050563A">
      <w:pPr>
        <w:ind w:firstLine="709"/>
        <w:jc w:val="both"/>
        <w:rPr>
          <w:szCs w:val="28"/>
        </w:rPr>
      </w:pPr>
    </w:p>
    <w:p w14:paraId="6CE8A875" w14:textId="77777777" w:rsidR="006E4D94" w:rsidRDefault="006E4D94" w:rsidP="0050563A">
      <w:pPr>
        <w:ind w:firstLine="709"/>
        <w:jc w:val="both"/>
        <w:rPr>
          <w:szCs w:val="28"/>
        </w:rPr>
      </w:pPr>
    </w:p>
    <w:p w14:paraId="17B8245B" w14:textId="77777777" w:rsidR="006E4D94" w:rsidRDefault="006E4D94" w:rsidP="0050563A">
      <w:pPr>
        <w:ind w:firstLine="709"/>
        <w:jc w:val="both"/>
        <w:rPr>
          <w:szCs w:val="28"/>
        </w:rPr>
      </w:pPr>
    </w:p>
    <w:p w14:paraId="4CA1644B" w14:textId="77777777" w:rsidR="006E4D94" w:rsidRDefault="006E4D94" w:rsidP="0050563A">
      <w:pPr>
        <w:ind w:firstLine="709"/>
        <w:jc w:val="both"/>
        <w:rPr>
          <w:szCs w:val="28"/>
        </w:rPr>
      </w:pPr>
    </w:p>
    <w:p w14:paraId="72646C91" w14:textId="77777777" w:rsidR="006E4D94" w:rsidRDefault="006E4D94" w:rsidP="0050563A">
      <w:pPr>
        <w:ind w:firstLine="709"/>
        <w:jc w:val="both"/>
        <w:rPr>
          <w:szCs w:val="28"/>
        </w:rPr>
      </w:pPr>
    </w:p>
    <w:p w14:paraId="2824FA3E" w14:textId="77777777" w:rsidR="006E4D94" w:rsidRDefault="006E4D94" w:rsidP="0050563A">
      <w:pPr>
        <w:ind w:firstLine="709"/>
        <w:jc w:val="both"/>
        <w:rPr>
          <w:szCs w:val="28"/>
        </w:rPr>
      </w:pPr>
    </w:p>
    <w:p w14:paraId="6516AACD" w14:textId="77777777" w:rsidR="006E4D94" w:rsidRDefault="006E4D94" w:rsidP="0050563A">
      <w:pPr>
        <w:ind w:firstLine="709"/>
        <w:jc w:val="both"/>
        <w:rPr>
          <w:szCs w:val="28"/>
        </w:rPr>
        <w:sectPr w:rsidR="006E4D94" w:rsidSect="004B2470">
          <w:pgSz w:w="11906" w:h="16838"/>
          <w:pgMar w:top="1134" w:right="850" w:bottom="1134" w:left="1134" w:header="709" w:footer="709" w:gutter="0"/>
          <w:cols w:space="708"/>
          <w:titlePg/>
          <w:docGrid w:linePitch="381"/>
        </w:sectPr>
      </w:pPr>
    </w:p>
    <w:tbl>
      <w:tblPr>
        <w:tblW w:w="15554" w:type="dxa"/>
        <w:tblLook w:val="04A0" w:firstRow="1" w:lastRow="0" w:firstColumn="1" w:lastColumn="0" w:noHBand="0" w:noVBand="1"/>
      </w:tblPr>
      <w:tblGrid>
        <w:gridCol w:w="531"/>
        <w:gridCol w:w="2730"/>
        <w:gridCol w:w="1272"/>
        <w:gridCol w:w="821"/>
        <w:gridCol w:w="821"/>
        <w:gridCol w:w="931"/>
        <w:gridCol w:w="931"/>
        <w:gridCol w:w="1000"/>
        <w:gridCol w:w="931"/>
        <w:gridCol w:w="931"/>
        <w:gridCol w:w="931"/>
        <w:gridCol w:w="931"/>
        <w:gridCol w:w="931"/>
        <w:gridCol w:w="931"/>
        <w:gridCol w:w="931"/>
      </w:tblGrid>
      <w:tr w:rsidR="008D4C17" w:rsidRPr="004C2513" w14:paraId="1DC4560D" w14:textId="77777777" w:rsidTr="008D4C17">
        <w:trPr>
          <w:trHeight w:val="263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8ED2F" w14:textId="77777777" w:rsidR="008D4C17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C746B0" w14:textId="13239686" w:rsidR="008D4C17" w:rsidRDefault="008D4C17" w:rsidP="008D4C17">
            <w:pPr>
              <w:tabs>
                <w:tab w:val="left" w:pos="276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1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ПРОГНОЗ СОЦИАЛЬНО-ЭКОНОМИЧЕСКОГО РАЗВИТИЯ</w:t>
            </w:r>
          </w:p>
          <w:p w14:paraId="12FFEF3B" w14:textId="1CECF6DD" w:rsidR="008D4C17" w:rsidRDefault="008D4C17" w:rsidP="008D4C17">
            <w:pPr>
              <w:tabs>
                <w:tab w:val="left" w:pos="276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1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"Муринское городское поселение" Всеволожского муниципального района Ленинградской области на период до 2034 года</w:t>
            </w:r>
          </w:p>
          <w:p w14:paraId="302F3300" w14:textId="77777777" w:rsidR="008D4C17" w:rsidRPr="004C2513" w:rsidRDefault="008D4C17" w:rsidP="004C251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4C17" w:rsidRPr="004C2513" w14:paraId="069D331F" w14:textId="77777777" w:rsidTr="008D4C17">
        <w:trPr>
          <w:trHeight w:val="26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FC6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C06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Показатели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FA9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110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170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sz w:val="22"/>
                <w:lang w:eastAsia="ru-RU"/>
              </w:rPr>
              <w:t>Прогноз</w:t>
            </w:r>
          </w:p>
        </w:tc>
      </w:tr>
      <w:tr w:rsidR="008D4C17" w:rsidRPr="004C2513" w14:paraId="79815196" w14:textId="77777777" w:rsidTr="008D4C17">
        <w:trPr>
          <w:trHeight w:val="115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D0C0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4132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0723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9DB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2023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52F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2024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820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3E8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AD5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7BB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2028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C8E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2029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AF3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2030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CF7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2031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D2D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2032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5EA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2033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59B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2034 год</w:t>
            </w:r>
          </w:p>
        </w:tc>
      </w:tr>
      <w:tr w:rsidR="008D4C17" w:rsidRPr="004C2513" w14:paraId="749BB263" w14:textId="77777777" w:rsidTr="008D4C17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23E9B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05F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CC7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A3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E9F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1D2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01E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2FF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2AC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382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3A2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E72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75B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EB2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8EB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</w:t>
            </w:r>
          </w:p>
        </w:tc>
      </w:tr>
      <w:tr w:rsidR="008D4C17" w:rsidRPr="004C2513" w14:paraId="4ABAB953" w14:textId="77777777" w:rsidTr="008D4C17">
        <w:trPr>
          <w:trHeight w:val="52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1775F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1. 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4F4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Демографические показатели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8C6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7CE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AA5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D88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3FF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96B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9B0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67A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657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D8E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F39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76A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832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D4C17" w:rsidRPr="004C2513" w14:paraId="07CF873C" w14:textId="77777777" w:rsidTr="008D4C17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6481B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234A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AC8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тыс.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73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35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14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127,0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33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1A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143,0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CAD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06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156,0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11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161,0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07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166,0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88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171,0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FB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176,0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98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180,0</w:t>
            </w:r>
          </w:p>
        </w:tc>
      </w:tr>
      <w:tr w:rsidR="008D4C17" w:rsidRPr="004C2513" w14:paraId="51CFE7F9" w14:textId="77777777" w:rsidTr="008D4C17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3C53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0ABB6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Естественный прирост (+), убыль (-)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846D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тыс.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3D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D3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EC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EC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E2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B1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E88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9ED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A9F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541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4E7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65E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4,5</w:t>
            </w:r>
          </w:p>
        </w:tc>
      </w:tr>
      <w:tr w:rsidR="008D4C17" w:rsidRPr="004C2513" w14:paraId="0AE1F0E1" w14:textId="77777777" w:rsidTr="008D4C17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03221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2.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602C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Промышленное производство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1CD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43A5A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73F0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ABCD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AC21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4EB9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9D4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B9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7FC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08A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939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904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CE0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D4C17" w:rsidRPr="004C2513" w14:paraId="09581317" w14:textId="77777777" w:rsidTr="008D4C17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E2AC8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0C7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отгруженной продукции (работ, услуг)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92C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proofErr w:type="spellStart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млн.руб</w:t>
            </w:r>
            <w:proofErr w:type="spellEnd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A5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9462,7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44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9854,5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B2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10433,7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55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11205,8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88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12035,0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98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12913,6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DB5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13843,3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CB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14840,1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E3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14826,2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411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15878,9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F0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17006,3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3B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18196,7</w:t>
            </w:r>
          </w:p>
        </w:tc>
      </w:tr>
      <w:tr w:rsidR="008D4C17" w:rsidRPr="004C2513" w14:paraId="45FC27CD" w14:textId="77777777" w:rsidTr="008D4C17">
        <w:trPr>
          <w:trHeight w:val="630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FC46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D5A1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774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в % к пред.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FD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76E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ADE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105,9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2D0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8B9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E6D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A0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B9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DF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1A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F07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CC3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107,0</w:t>
            </w:r>
          </w:p>
        </w:tc>
      </w:tr>
      <w:tr w:rsidR="008D4C17" w:rsidRPr="004C2513" w14:paraId="75B8F7EE" w14:textId="77777777" w:rsidTr="008D4C17">
        <w:trPr>
          <w:trHeight w:val="630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8FBF8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3DB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A96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proofErr w:type="spellStart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млн.руб</w:t>
            </w:r>
            <w:proofErr w:type="spellEnd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F0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5492,6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DD7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5717,8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91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6055,1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06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6505,0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C0D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6988,3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F2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7500,1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14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8041,7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B8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8622,3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8F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9236,0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46C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9893,4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33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10597,6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36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11340,8</w:t>
            </w:r>
          </w:p>
        </w:tc>
      </w:tr>
      <w:tr w:rsidR="008D4C17" w:rsidRPr="004C2513" w14:paraId="12D49409" w14:textId="77777777" w:rsidTr="008D4C17">
        <w:trPr>
          <w:trHeight w:val="118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C63CA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1FCF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49D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в % к пред.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56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7F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A1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105,9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37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B7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31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2FC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9E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161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43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91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3A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107,0</w:t>
            </w:r>
          </w:p>
        </w:tc>
      </w:tr>
      <w:tr w:rsidR="008D4C17" w:rsidRPr="004C2513" w14:paraId="69392945" w14:textId="77777777" w:rsidTr="008D4C17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3FDEC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3.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188E0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Рынок товаров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CF6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10C45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91EB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2C158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433EC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CC247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EB8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B7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C17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AD2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2F6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41B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F8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D4C17" w:rsidRPr="004C2513" w14:paraId="2013A4AD" w14:textId="77777777" w:rsidTr="008D4C17">
        <w:trPr>
          <w:trHeight w:val="372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F11B0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E29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Оборот розничной торговли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289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proofErr w:type="spellStart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млн.руб</w:t>
            </w:r>
            <w:proofErr w:type="spellEnd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26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4220,2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66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4426,9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03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4788,2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59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5113,8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75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5461,5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035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5832,9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993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6241,2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C70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6671,9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D8B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7132,2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0D7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7624,3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52A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8158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574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8729,1</w:t>
            </w:r>
          </w:p>
        </w:tc>
      </w:tr>
      <w:tr w:rsidR="008D4C17" w:rsidRPr="004C2513" w14:paraId="74D67CCC" w14:textId="77777777" w:rsidTr="008D4C17">
        <w:trPr>
          <w:trHeight w:val="64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3ED1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93B8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D1B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в % к пред.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0D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112,9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9D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110,1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105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B08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D32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79A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94E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D6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C3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E85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BBC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CD0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107,0</w:t>
            </w:r>
          </w:p>
        </w:tc>
      </w:tr>
      <w:tr w:rsidR="008D4C17" w:rsidRPr="004C2513" w14:paraId="6FADB166" w14:textId="77777777" w:rsidTr="008D4C17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E8B5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59B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031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47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370,0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CC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372,0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4B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374,0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13B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377,0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D90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380,0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C0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384,0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B9A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3EF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866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277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776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6A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418</w:t>
            </w:r>
          </w:p>
        </w:tc>
      </w:tr>
      <w:tr w:rsidR="008D4C17" w:rsidRPr="004C2513" w14:paraId="4F0FA2A8" w14:textId="77777777" w:rsidTr="008D4C17">
        <w:trPr>
          <w:trHeight w:val="9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77C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849" w14:textId="77777777" w:rsidR="008D4C17" w:rsidRPr="004C2513" w:rsidRDefault="008D4C17" w:rsidP="004C25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251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E74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96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1602,0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D3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1612,0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60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1622,0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C6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1635,0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A5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F63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1667,0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153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1685,0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91A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1703,0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EBB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1720,0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C35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1740,0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928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1770,0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5E0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1800,0</w:t>
            </w:r>
          </w:p>
        </w:tc>
      </w:tr>
      <w:tr w:rsidR="008D4C17" w:rsidRPr="004C2513" w14:paraId="2DE9F39E" w14:textId="77777777" w:rsidTr="008D4C17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DFF3C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4.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FC19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Инвестиции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FB6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3E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4F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95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DB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15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D0D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FC8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D63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73B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3A7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006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93E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D4C17" w:rsidRPr="004C2513" w14:paraId="2D273A75" w14:textId="77777777" w:rsidTr="008D4C17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33CC4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1D94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A9C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proofErr w:type="spellStart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млн.руб</w:t>
            </w:r>
            <w:proofErr w:type="spellEnd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70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173,9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E5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116,3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F8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120,9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EE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131,7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79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142,9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398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154,0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98F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165,4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A93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177,1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CEB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189,7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289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203,2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B24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217,6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295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233,1</w:t>
            </w:r>
          </w:p>
        </w:tc>
      </w:tr>
      <w:tr w:rsidR="008D4C17" w:rsidRPr="004C2513" w14:paraId="369380D0" w14:textId="77777777" w:rsidTr="008D4C17">
        <w:trPr>
          <w:trHeight w:val="58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A6428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4194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859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в % к пред.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6AF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85,9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37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93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B7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CF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19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F9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DEB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74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41E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CC6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51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</w:tr>
      <w:tr w:rsidR="008D4C17" w:rsidRPr="004C2513" w14:paraId="133353B0" w14:textId="77777777" w:rsidTr="008D4C17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3C18F8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5.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A0A2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Доходы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2CF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1B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42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87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0E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42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B6E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F21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65E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D55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1C3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26B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995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D4C17" w:rsidRPr="004C2513" w14:paraId="2504F00B" w14:textId="77777777" w:rsidTr="008D4C17">
        <w:trPr>
          <w:trHeight w:val="31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44A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477" w14:textId="77777777" w:rsidR="008D4C17" w:rsidRPr="004C2513" w:rsidRDefault="008D4C17" w:rsidP="004C25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2513">
              <w:rPr>
                <w:rFonts w:eastAsia="Times New Roman" w:cs="Times New Roman"/>
                <w:sz w:val="24"/>
                <w:szCs w:val="24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571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F3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4640,9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BA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5040,1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88C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5458,4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2C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5845,9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A7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6261,0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04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6705,5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F42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7154,8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9A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7634,2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05D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8153,3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31E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8707,7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E74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9291,1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5FA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9913,6</w:t>
            </w:r>
          </w:p>
        </w:tc>
      </w:tr>
      <w:tr w:rsidR="008D4C17" w:rsidRPr="004C2513" w14:paraId="3E5E8930" w14:textId="77777777" w:rsidTr="008D4C17">
        <w:trPr>
          <w:trHeight w:val="6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AB30" w14:textId="77777777" w:rsidR="008D4C17" w:rsidRPr="004C2513" w:rsidRDefault="008D4C17" w:rsidP="004C2513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3E6E" w14:textId="77777777" w:rsidR="008D4C17" w:rsidRPr="004C2513" w:rsidRDefault="008D4C17" w:rsidP="004C25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F4A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в % к пред.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B20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111,1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6A8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0C7D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FCA3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E244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78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0A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40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70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EF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3F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EF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106,7</w:t>
            </w:r>
          </w:p>
        </w:tc>
      </w:tr>
      <w:tr w:rsidR="008D4C17" w:rsidRPr="004C2513" w14:paraId="40E6E582" w14:textId="77777777" w:rsidTr="008D4C17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BC1D705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6.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62B9D3" w14:textId="77777777" w:rsidR="008D4C17" w:rsidRPr="004C2513" w:rsidRDefault="008D4C17" w:rsidP="004C2513">
            <w:pPr>
              <w:outlineLvl w:val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Занятость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B9C7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00E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0DC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7B7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219F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7F1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E7D3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3304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DE1F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118B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E9DF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EAE7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600E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D4C17" w:rsidRPr="004C2513" w14:paraId="6280C49B" w14:textId="77777777" w:rsidTr="008D4C17">
        <w:trPr>
          <w:trHeight w:val="15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7FC5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96B7" w14:textId="77777777" w:rsidR="008D4C17" w:rsidRPr="004C2513" w:rsidRDefault="008D4C17" w:rsidP="004C2513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2513">
              <w:rPr>
                <w:rFonts w:eastAsia="Times New Roman" w:cs="Times New Roman"/>
                <w:sz w:val="24"/>
                <w:szCs w:val="24"/>
                <w:lang w:eastAsia="ru-RU"/>
              </w:rPr>
              <w:t>Среднесписочная численность работников предприятий и учреждений, расположенных на территории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9E8F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proofErr w:type="spellStart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тыс.чел</w:t>
            </w:r>
            <w:proofErr w:type="spellEnd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3B16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F718B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5,9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DF6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69C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C67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0489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E532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7871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799E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71D2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3CF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A2F7" w14:textId="77777777" w:rsidR="008D4C17" w:rsidRPr="004C2513" w:rsidRDefault="008D4C17" w:rsidP="004C2513">
            <w:pPr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8D4C17" w:rsidRPr="004C2513" w14:paraId="4C317AE0" w14:textId="77777777" w:rsidTr="008D4C1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5736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717B" w14:textId="77777777" w:rsidR="008D4C17" w:rsidRPr="004C2513" w:rsidRDefault="008D4C17" w:rsidP="004C25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25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Численность безработных, зарегистрированных в органах </w:t>
            </w:r>
            <w:r w:rsidRPr="004C25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государственной службы занятости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64B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proofErr w:type="spellStart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lastRenderedPageBreak/>
              <w:t>тыс.чел</w:t>
            </w:r>
            <w:proofErr w:type="spellEnd"/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E38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23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6E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14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29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DCD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087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64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81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E91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271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948B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1,30</w:t>
            </w:r>
          </w:p>
        </w:tc>
      </w:tr>
      <w:tr w:rsidR="008D4C17" w:rsidRPr="004C2513" w14:paraId="707733E9" w14:textId="77777777" w:rsidTr="008D4C17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143D02C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F7EF" w14:textId="77777777" w:rsidR="008D4C17" w:rsidRPr="004C2513" w:rsidRDefault="008D4C17" w:rsidP="004C25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Уровень безработицы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5E6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44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9B2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CF8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830E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2F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E0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9F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EB89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017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A7A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ED0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6A5" w14:textId="77777777" w:rsidR="008D4C17" w:rsidRPr="004C2513" w:rsidRDefault="008D4C17" w:rsidP="004C251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color w:val="000000"/>
                <w:sz w:val="22"/>
                <w:lang w:eastAsia="ru-RU"/>
              </w:rPr>
              <w:t>0,4</w:t>
            </w:r>
          </w:p>
        </w:tc>
      </w:tr>
    </w:tbl>
    <w:p w14:paraId="31A35968" w14:textId="7C3E0C75" w:rsidR="006E4D94" w:rsidRPr="008D4C17" w:rsidRDefault="006E4D94" w:rsidP="008D4C17">
      <w:pPr>
        <w:jc w:val="both"/>
        <w:rPr>
          <w:szCs w:val="28"/>
        </w:rPr>
        <w:sectPr w:rsidR="006E4D94" w:rsidRPr="008D4C17" w:rsidSect="004B2470">
          <w:pgSz w:w="16838" w:h="11906" w:orient="landscape"/>
          <w:pgMar w:top="1134" w:right="1134" w:bottom="850" w:left="1134" w:header="709" w:footer="709" w:gutter="0"/>
          <w:cols w:space="708"/>
          <w:titlePg/>
          <w:docGrid w:linePitch="381"/>
        </w:sectPr>
      </w:pPr>
    </w:p>
    <w:p w14:paraId="21F4DDAF" w14:textId="77777777" w:rsidR="006E4D94" w:rsidRDefault="006E4D94" w:rsidP="006E4D94">
      <w:pPr>
        <w:pStyle w:val="1"/>
        <w:jc w:val="left"/>
      </w:pPr>
    </w:p>
    <w:p w14:paraId="26A55C3A" w14:textId="399756C6" w:rsidR="003E18E6" w:rsidRDefault="003E18E6" w:rsidP="006E4D94">
      <w:pPr>
        <w:pStyle w:val="1"/>
        <w:numPr>
          <w:ilvl w:val="0"/>
          <w:numId w:val="20"/>
        </w:numPr>
      </w:pPr>
      <w:r w:rsidRPr="0050563A">
        <w:t>Прогноз основных п</w:t>
      </w:r>
      <w:r w:rsidR="00481AB9" w:rsidRPr="0050563A">
        <w:t>араметров бюджет</w:t>
      </w:r>
      <w:r w:rsidR="004805C6">
        <w:t>а</w:t>
      </w:r>
      <w:r w:rsidR="00A531E9">
        <w:t xml:space="preserve"> </w:t>
      </w:r>
      <w:r w:rsidR="00481AB9" w:rsidRPr="0050563A">
        <w:t xml:space="preserve">муниципального образования «Муринское </w:t>
      </w:r>
      <w:r w:rsidR="00A531E9">
        <w:t>городское</w:t>
      </w:r>
      <w:r w:rsidR="00481AB9" w:rsidRPr="0050563A">
        <w:t xml:space="preserve"> поселение» Всеволожского муниципального района </w:t>
      </w:r>
      <w:r w:rsidRPr="0050563A">
        <w:t>Ленинградской области</w:t>
      </w:r>
      <w:r w:rsidR="00644E77" w:rsidRPr="0050563A">
        <w:t xml:space="preserve"> на период до 202</w:t>
      </w:r>
      <w:r w:rsidR="00A531E9">
        <w:t>9</w:t>
      </w:r>
      <w:r w:rsidR="00644E77" w:rsidRPr="0050563A">
        <w:t xml:space="preserve"> года</w:t>
      </w:r>
      <w:bookmarkEnd w:id="1"/>
    </w:p>
    <w:p w14:paraId="5BC62C05" w14:textId="77777777" w:rsidR="004805C6" w:rsidRDefault="004805C6" w:rsidP="004805C6"/>
    <w:p w14:paraId="253D1B91" w14:textId="3840862E" w:rsidR="004805C6" w:rsidRDefault="004805C6" w:rsidP="00CA5E0B">
      <w:pPr>
        <w:ind w:firstLine="708"/>
        <w:jc w:val="both"/>
      </w:pPr>
      <w:r>
        <w:t xml:space="preserve">Расчеты объемов поступлений налоговых и неналоговых доходов в бюджет </w:t>
      </w:r>
      <w:r w:rsidR="00CA5E0B">
        <w:t>Муринского</w:t>
      </w:r>
      <w:r>
        <w:t xml:space="preserve"> городского поселения Всеволожского муниципального района Ленинградской области в рамках составления бюджетного прогноза основаны на показателях долгосрочного прогноза социально-экономического развития </w:t>
      </w:r>
      <w:r w:rsidR="00CA5E0B">
        <w:t>Муринского</w:t>
      </w:r>
      <w:r>
        <w:t xml:space="preserve"> городского поселения Всеволожского муниципального района Ленинградской области на период до 203</w:t>
      </w:r>
      <w:r w:rsidR="00CA5E0B">
        <w:t>4</w:t>
      </w:r>
      <w:r>
        <w:t xml:space="preserve"> года, характеризующих, как общие тенденции развития экономики (объем валового регионального продукта, динамика индекса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бюджета.</w:t>
      </w:r>
    </w:p>
    <w:p w14:paraId="38694B0C" w14:textId="77777777" w:rsidR="00CA5E0B" w:rsidRDefault="00CA5E0B" w:rsidP="004805C6">
      <w:pPr>
        <w:ind w:firstLine="360"/>
        <w:jc w:val="both"/>
      </w:pPr>
    </w:p>
    <w:p w14:paraId="23649993" w14:textId="2193E305" w:rsidR="00CA5E0B" w:rsidRDefault="00CA5E0B" w:rsidP="00CA5E0B">
      <w:pPr>
        <w:pStyle w:val="1"/>
        <w:numPr>
          <w:ilvl w:val="0"/>
          <w:numId w:val="20"/>
        </w:numPr>
      </w:pPr>
      <w:r>
        <w:t>Основные параметры бюджета Муринского городского поселения Всеволожского муниципального района Ленинградской области</w:t>
      </w:r>
    </w:p>
    <w:p w14:paraId="5ADD2195" w14:textId="77777777" w:rsidR="00CA5E0B" w:rsidRDefault="00CA5E0B" w:rsidP="00CA5E0B"/>
    <w:p w14:paraId="6B801146" w14:textId="44F22E4A" w:rsidR="00CA5E0B" w:rsidRDefault="00CA5E0B" w:rsidP="008D4C17">
      <w:pPr>
        <w:ind w:firstLine="708"/>
        <w:jc w:val="both"/>
      </w:pPr>
      <w:r>
        <w:t xml:space="preserve">Структура и динамика доходной части бюджета Заневского городского поселения Всеволожского муниципального района Ленинградской области </w:t>
      </w:r>
      <w:r w:rsidR="009657D5">
        <w:t>н</w:t>
      </w:r>
      <w:r>
        <w:t>а период 2024-2029 годов характеризуется следующими показателями:</w:t>
      </w:r>
    </w:p>
    <w:p w14:paraId="0344BD33" w14:textId="10A3529E" w:rsidR="00CA5E0B" w:rsidRDefault="00CA5E0B" w:rsidP="00CA5E0B">
      <w:pPr>
        <w:ind w:firstLine="708"/>
      </w:pPr>
      <w:r>
        <w:t xml:space="preserve">                                                                                                                 Тыс. руб.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55"/>
        <w:gridCol w:w="1620"/>
        <w:gridCol w:w="1639"/>
        <w:gridCol w:w="1620"/>
        <w:gridCol w:w="1639"/>
        <w:gridCol w:w="1639"/>
      </w:tblGrid>
      <w:tr w:rsidR="00CA5E0B" w14:paraId="19F16029" w14:textId="77777777" w:rsidTr="00F03CC7">
        <w:tc>
          <w:tcPr>
            <w:tcW w:w="1755" w:type="dxa"/>
          </w:tcPr>
          <w:p w14:paraId="04E011D7" w14:textId="4FA96A6D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</w:tcPr>
          <w:p w14:paraId="23191536" w14:textId="1DFB9C3B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2024 год</w:t>
            </w:r>
          </w:p>
        </w:tc>
        <w:tc>
          <w:tcPr>
            <w:tcW w:w="1639" w:type="dxa"/>
          </w:tcPr>
          <w:p w14:paraId="144F83A0" w14:textId="4B57E73D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Удельный вес в общей сумме доходов в 2024г.</w:t>
            </w:r>
          </w:p>
        </w:tc>
        <w:tc>
          <w:tcPr>
            <w:tcW w:w="1620" w:type="dxa"/>
          </w:tcPr>
          <w:p w14:paraId="49793DC8" w14:textId="07D5D987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2029 год</w:t>
            </w:r>
          </w:p>
        </w:tc>
        <w:tc>
          <w:tcPr>
            <w:tcW w:w="1639" w:type="dxa"/>
          </w:tcPr>
          <w:p w14:paraId="4B440563" w14:textId="7087C398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Удельный вес в общей сумме доходов в 2029г.</w:t>
            </w:r>
          </w:p>
        </w:tc>
        <w:tc>
          <w:tcPr>
            <w:tcW w:w="1639" w:type="dxa"/>
          </w:tcPr>
          <w:p w14:paraId="0B8F77BE" w14:textId="489BE279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Динамика за период 2024-2029 годы</w:t>
            </w:r>
          </w:p>
        </w:tc>
      </w:tr>
      <w:tr w:rsidR="00CA5E0B" w14:paraId="728D02BC" w14:textId="77777777" w:rsidTr="00F03CC7">
        <w:tc>
          <w:tcPr>
            <w:tcW w:w="1755" w:type="dxa"/>
          </w:tcPr>
          <w:p w14:paraId="5C02B7D8" w14:textId="3B0B1E6E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Доходы</w:t>
            </w:r>
          </w:p>
        </w:tc>
        <w:tc>
          <w:tcPr>
            <w:tcW w:w="1620" w:type="dxa"/>
          </w:tcPr>
          <w:p w14:paraId="6F53C716" w14:textId="2856F788" w:rsidR="00CA5E0B" w:rsidRPr="00F03CC7" w:rsidRDefault="00847009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691 682,1</w:t>
            </w:r>
          </w:p>
        </w:tc>
        <w:tc>
          <w:tcPr>
            <w:tcW w:w="1639" w:type="dxa"/>
          </w:tcPr>
          <w:p w14:paraId="7C098D3A" w14:textId="015C4D91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100</w:t>
            </w:r>
            <w:r w:rsidR="004275F9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</w:tcPr>
          <w:p w14:paraId="157BDC30" w14:textId="16AA9055" w:rsidR="00CA5E0B" w:rsidRPr="00F03CC7" w:rsidRDefault="004275F9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725 310,4</w:t>
            </w:r>
          </w:p>
        </w:tc>
        <w:tc>
          <w:tcPr>
            <w:tcW w:w="1639" w:type="dxa"/>
          </w:tcPr>
          <w:p w14:paraId="4BBAE97D" w14:textId="6D652942" w:rsidR="00CA5E0B" w:rsidRPr="00F03CC7" w:rsidRDefault="004275F9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39" w:type="dxa"/>
          </w:tcPr>
          <w:p w14:paraId="5C9C4842" w14:textId="5350BB20" w:rsidR="00CA5E0B" w:rsidRPr="00F03CC7" w:rsidRDefault="004275F9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CA5E0B" w14:paraId="498D42DE" w14:textId="77777777" w:rsidTr="00F03CC7">
        <w:tc>
          <w:tcPr>
            <w:tcW w:w="1755" w:type="dxa"/>
          </w:tcPr>
          <w:p w14:paraId="26AEE2AE" w14:textId="2B782DA6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620" w:type="dxa"/>
          </w:tcPr>
          <w:p w14:paraId="1E3AF4C5" w14:textId="4F4F2815" w:rsidR="00CA5E0B" w:rsidRPr="00F03CC7" w:rsidRDefault="001474A6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361 224,1</w:t>
            </w:r>
          </w:p>
        </w:tc>
        <w:tc>
          <w:tcPr>
            <w:tcW w:w="1639" w:type="dxa"/>
          </w:tcPr>
          <w:p w14:paraId="56CCEEF3" w14:textId="088A39C5" w:rsidR="00CA5E0B" w:rsidRPr="00F03CC7" w:rsidRDefault="001474A6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1620" w:type="dxa"/>
          </w:tcPr>
          <w:p w14:paraId="0EF7C1C3" w14:textId="11DE718B" w:rsidR="00CA5E0B" w:rsidRPr="00F03CC7" w:rsidRDefault="00DC3B0A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469 591,3</w:t>
            </w:r>
          </w:p>
        </w:tc>
        <w:tc>
          <w:tcPr>
            <w:tcW w:w="1639" w:type="dxa"/>
          </w:tcPr>
          <w:p w14:paraId="51D11561" w14:textId="24000946" w:rsidR="00CA5E0B" w:rsidRPr="00F03CC7" w:rsidRDefault="004275F9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1639" w:type="dxa"/>
          </w:tcPr>
          <w:p w14:paraId="5D2E0546" w14:textId="4F2D7FB2" w:rsidR="00CA5E0B" w:rsidRPr="00F03CC7" w:rsidRDefault="003D65A7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CA5E0B" w14:paraId="382E91C5" w14:textId="77777777" w:rsidTr="00F03CC7">
        <w:tc>
          <w:tcPr>
            <w:tcW w:w="1755" w:type="dxa"/>
          </w:tcPr>
          <w:p w14:paraId="4B4B22D4" w14:textId="55456A0A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620" w:type="dxa"/>
          </w:tcPr>
          <w:p w14:paraId="1C83F33D" w14:textId="0D93569E" w:rsidR="00CA5E0B" w:rsidRPr="00F03CC7" w:rsidRDefault="001474A6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341 357,3</w:t>
            </w:r>
          </w:p>
        </w:tc>
        <w:tc>
          <w:tcPr>
            <w:tcW w:w="1639" w:type="dxa"/>
          </w:tcPr>
          <w:p w14:paraId="0D1724EF" w14:textId="1D6C968B" w:rsidR="00CA5E0B" w:rsidRPr="00F03CC7" w:rsidRDefault="001474A6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620" w:type="dxa"/>
          </w:tcPr>
          <w:p w14:paraId="4BF09A06" w14:textId="75A58EBE" w:rsidR="00CA5E0B" w:rsidRPr="00F03CC7" w:rsidRDefault="003D65A7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449 724,5</w:t>
            </w:r>
          </w:p>
        </w:tc>
        <w:tc>
          <w:tcPr>
            <w:tcW w:w="1639" w:type="dxa"/>
          </w:tcPr>
          <w:p w14:paraId="6851B0AB" w14:textId="5D1F1820" w:rsidR="00CA5E0B" w:rsidRPr="00F03CC7" w:rsidRDefault="00B15960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639" w:type="dxa"/>
          </w:tcPr>
          <w:p w14:paraId="20F37DD1" w14:textId="3964FCA2" w:rsidR="00CA5E0B" w:rsidRPr="00F03CC7" w:rsidRDefault="001958E7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CA5E0B" w14:paraId="6B250021" w14:textId="77777777" w:rsidTr="00F03CC7">
        <w:tc>
          <w:tcPr>
            <w:tcW w:w="1755" w:type="dxa"/>
          </w:tcPr>
          <w:p w14:paraId="6D9AFA0C" w14:textId="02728884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620" w:type="dxa"/>
          </w:tcPr>
          <w:p w14:paraId="6D778323" w14:textId="647618FA" w:rsidR="00CA5E0B" w:rsidRPr="00F03CC7" w:rsidRDefault="001474A6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19 866,8</w:t>
            </w:r>
          </w:p>
        </w:tc>
        <w:tc>
          <w:tcPr>
            <w:tcW w:w="1639" w:type="dxa"/>
          </w:tcPr>
          <w:p w14:paraId="1CEEBB65" w14:textId="465BBFBD" w:rsidR="00CA5E0B" w:rsidRPr="00F03CC7" w:rsidRDefault="001474A6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620" w:type="dxa"/>
          </w:tcPr>
          <w:p w14:paraId="0D97D7E7" w14:textId="2D5D574E" w:rsidR="00CA5E0B" w:rsidRPr="00F03CC7" w:rsidRDefault="003D65A7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19 866,8</w:t>
            </w:r>
          </w:p>
        </w:tc>
        <w:tc>
          <w:tcPr>
            <w:tcW w:w="1639" w:type="dxa"/>
          </w:tcPr>
          <w:p w14:paraId="154273F7" w14:textId="79FE6D2F" w:rsidR="00CA5E0B" w:rsidRPr="00F03CC7" w:rsidRDefault="00B15960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639" w:type="dxa"/>
          </w:tcPr>
          <w:p w14:paraId="3167834D" w14:textId="49E8580C" w:rsidR="00CA5E0B" w:rsidRPr="00F03CC7" w:rsidRDefault="001958E7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A5E0B" w14:paraId="5F1E346A" w14:textId="77777777" w:rsidTr="00F03CC7">
        <w:tc>
          <w:tcPr>
            <w:tcW w:w="1755" w:type="dxa"/>
          </w:tcPr>
          <w:p w14:paraId="0582E60E" w14:textId="033FE1DE" w:rsidR="00CA5E0B" w:rsidRPr="00F03CC7" w:rsidRDefault="00F03CC7" w:rsidP="00F03CC7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</w:tcPr>
          <w:p w14:paraId="09C06881" w14:textId="36C70E38" w:rsidR="00CA5E0B" w:rsidRPr="00F03CC7" w:rsidRDefault="001474A6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847009">
              <w:rPr>
                <w:sz w:val="24"/>
                <w:szCs w:val="24"/>
              </w:rPr>
              <w:t>0 458,0</w:t>
            </w:r>
          </w:p>
        </w:tc>
        <w:tc>
          <w:tcPr>
            <w:tcW w:w="1639" w:type="dxa"/>
          </w:tcPr>
          <w:p w14:paraId="3575BFEE" w14:textId="77999073" w:rsidR="00CA5E0B" w:rsidRPr="00F03CC7" w:rsidRDefault="001474A6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620" w:type="dxa"/>
          </w:tcPr>
          <w:p w14:paraId="0150E79B" w14:textId="4AF260B8" w:rsidR="00CA5E0B" w:rsidRPr="00F03CC7" w:rsidRDefault="004275F9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255 719,1</w:t>
            </w:r>
          </w:p>
        </w:tc>
        <w:tc>
          <w:tcPr>
            <w:tcW w:w="1639" w:type="dxa"/>
          </w:tcPr>
          <w:p w14:paraId="17D1C621" w14:textId="1654C58D" w:rsidR="00CA5E0B" w:rsidRPr="00F03CC7" w:rsidRDefault="001958E7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639" w:type="dxa"/>
          </w:tcPr>
          <w:p w14:paraId="65AAA8E5" w14:textId="5D3AE426" w:rsidR="00CA5E0B" w:rsidRPr="00F03CC7" w:rsidRDefault="004275F9" w:rsidP="00F0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-22,8</w:t>
            </w:r>
          </w:p>
        </w:tc>
      </w:tr>
    </w:tbl>
    <w:p w14:paraId="0203A061" w14:textId="77777777" w:rsidR="00F03CC7" w:rsidRDefault="00F03CC7" w:rsidP="004805C6">
      <w:pPr>
        <w:ind w:firstLine="709"/>
        <w:jc w:val="both"/>
      </w:pPr>
    </w:p>
    <w:p w14:paraId="30CFF5C9" w14:textId="46A5F396" w:rsidR="008453DC" w:rsidRDefault="00F03CC7" w:rsidP="008D4C17">
      <w:pPr>
        <w:ind w:firstLine="709"/>
        <w:jc w:val="both"/>
      </w:pPr>
      <w:r>
        <w:t xml:space="preserve">В доходной части бюджета Муринского городского поселения Всеволожского муниципального района Ленинградской области в период 2024- 2029 годов наибольший удельный вес занимают собственные (налоговые и неналоговые) доходы. Доля безвозмездных поступлений в общем объеме доходов варьируется в зависимости от объемов участия в реализации государственных программ Ленинградской области. В долгосрочной перспективе существенных изменений в </w:t>
      </w:r>
      <w:r>
        <w:lastRenderedPageBreak/>
        <w:t xml:space="preserve">структуре собственных доходов бюджета Муринского городского поселения Всеволожского муниципального района Ленинградской области не ожидается. Основными налоговыми доходными источниками бюджета по-прежнему останутся местные налоги: земельный налог и налог на имущество физических лиц. Удельный вес перечисленных налогов составит в общем объеме налоговых доходов бюджета Муринского городского поселения Всеволожского муниципального района Ленинградской области в среднем </w:t>
      </w:r>
      <w:r w:rsidR="001958E7">
        <w:t>64,7</w:t>
      </w:r>
      <w:r w:rsidRPr="00DC3B0A">
        <w:t>%.</w:t>
      </w:r>
      <w:r>
        <w:t xml:space="preserve"> Рост поступлений по налоговым доходам за период 2024-2029 годы с учетом показателей по прогнозу социально-экономического развития Муринского городского поселения Всеволожского муниципального района Ленинградской области составит </w:t>
      </w:r>
      <w:r w:rsidR="00DC3B0A">
        <w:t>3</w:t>
      </w:r>
      <w:r w:rsidR="003D65A7">
        <w:t>1</w:t>
      </w:r>
      <w:r w:rsidR="00DC3B0A">
        <w:t>,</w:t>
      </w:r>
      <w:r w:rsidR="003D65A7">
        <w:t>7</w:t>
      </w:r>
      <w:r>
        <w:t xml:space="preserve">%. В структуре неналоговых доходов бюджета Муринского городского поселения Всеволожского муниципального района Ленинградской области основной удельный вес занимают доходы от использования имущества, находящегося в государственной и муниципальной собственности. С учетом изложенных факторов изменений в поступлении неналоговых доходов в бюджет </w:t>
      </w:r>
      <w:r w:rsidR="004C2513">
        <w:t>Муринского</w:t>
      </w:r>
      <w:r>
        <w:t xml:space="preserve"> городского поселения Всеволожского муниципального района Ленинградской области Всеволожского муниципального района Ленинградской области к 2029 году не ожидается.</w:t>
      </w:r>
    </w:p>
    <w:p w14:paraId="678FFE1F" w14:textId="77777777" w:rsidR="004275F9" w:rsidRDefault="004275F9" w:rsidP="008D4C17">
      <w:pPr>
        <w:ind w:firstLine="709"/>
        <w:jc w:val="both"/>
      </w:pPr>
    </w:p>
    <w:p w14:paraId="2BF0F010" w14:textId="4CA6ECC4" w:rsidR="004275F9" w:rsidRDefault="004275F9" w:rsidP="008D4C17">
      <w:pPr>
        <w:ind w:firstLine="709"/>
        <w:jc w:val="both"/>
      </w:pPr>
      <w:r>
        <w:t>Структура и динамика безвозмездных поступлений бюджета Муринского городского поселения Всеволожского муниципального района Ленинградской области за период 2024-2029 годов характеризуется следующими показателями:</w:t>
      </w:r>
    </w:p>
    <w:p w14:paraId="14FC0826" w14:textId="4621DA6B" w:rsidR="004275F9" w:rsidRDefault="004275F9" w:rsidP="004275F9">
      <w:pPr>
        <w:ind w:firstLine="708"/>
      </w:pPr>
      <w:r>
        <w:t xml:space="preserve">                                                                                                             Тыс. руб.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13"/>
        <w:gridCol w:w="1564"/>
        <w:gridCol w:w="1591"/>
        <w:gridCol w:w="1564"/>
        <w:gridCol w:w="1591"/>
        <w:gridCol w:w="1589"/>
      </w:tblGrid>
      <w:tr w:rsidR="004275F9" w14:paraId="2DA53506" w14:textId="77777777" w:rsidTr="004275F9">
        <w:tc>
          <w:tcPr>
            <w:tcW w:w="2013" w:type="dxa"/>
          </w:tcPr>
          <w:p w14:paraId="23D15D2B" w14:textId="77777777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Показатель</w:t>
            </w:r>
          </w:p>
        </w:tc>
        <w:tc>
          <w:tcPr>
            <w:tcW w:w="1564" w:type="dxa"/>
          </w:tcPr>
          <w:p w14:paraId="31EFF96A" w14:textId="77777777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2024 год</w:t>
            </w:r>
          </w:p>
        </w:tc>
        <w:tc>
          <w:tcPr>
            <w:tcW w:w="1591" w:type="dxa"/>
          </w:tcPr>
          <w:p w14:paraId="5E401339" w14:textId="77777777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Удельный вес в общей сумме доходов в 2024г.</w:t>
            </w:r>
          </w:p>
        </w:tc>
        <w:tc>
          <w:tcPr>
            <w:tcW w:w="1564" w:type="dxa"/>
          </w:tcPr>
          <w:p w14:paraId="5B2E68FE" w14:textId="77777777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2029 год</w:t>
            </w:r>
          </w:p>
        </w:tc>
        <w:tc>
          <w:tcPr>
            <w:tcW w:w="1591" w:type="dxa"/>
          </w:tcPr>
          <w:p w14:paraId="1E7EB8B5" w14:textId="77777777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Удельный вес в общей сумме доходов в 2029г.</w:t>
            </w:r>
          </w:p>
        </w:tc>
        <w:tc>
          <w:tcPr>
            <w:tcW w:w="1589" w:type="dxa"/>
          </w:tcPr>
          <w:p w14:paraId="7E80C8D3" w14:textId="77777777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Динамика за период 2024-2029 годы</w:t>
            </w:r>
          </w:p>
        </w:tc>
      </w:tr>
      <w:tr w:rsidR="004275F9" w14:paraId="4C5E8ED3" w14:textId="77777777" w:rsidTr="004275F9">
        <w:tc>
          <w:tcPr>
            <w:tcW w:w="2013" w:type="dxa"/>
          </w:tcPr>
          <w:p w14:paraId="35EFF016" w14:textId="2A425F96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 w:rsidRPr="004275F9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4" w:type="dxa"/>
          </w:tcPr>
          <w:p w14:paraId="50DA4BB7" w14:textId="5D946FD4" w:rsidR="004275F9" w:rsidRPr="00F03CC7" w:rsidRDefault="003B7AD0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330 458,0</w:t>
            </w:r>
          </w:p>
        </w:tc>
        <w:tc>
          <w:tcPr>
            <w:tcW w:w="1591" w:type="dxa"/>
          </w:tcPr>
          <w:p w14:paraId="61978F82" w14:textId="77777777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4" w:type="dxa"/>
          </w:tcPr>
          <w:p w14:paraId="0E695AE0" w14:textId="767E25AD" w:rsidR="004275F9" w:rsidRPr="00F03CC7" w:rsidRDefault="00B15960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255 719,1</w:t>
            </w:r>
          </w:p>
        </w:tc>
        <w:tc>
          <w:tcPr>
            <w:tcW w:w="1591" w:type="dxa"/>
          </w:tcPr>
          <w:p w14:paraId="7AD00562" w14:textId="77777777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89" w:type="dxa"/>
          </w:tcPr>
          <w:p w14:paraId="196B81C8" w14:textId="171A368C" w:rsidR="004275F9" w:rsidRPr="00F03CC7" w:rsidRDefault="00C90E14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-22,</w:t>
            </w:r>
            <w:r w:rsidR="003B7AD0">
              <w:rPr>
                <w:sz w:val="24"/>
                <w:szCs w:val="24"/>
              </w:rPr>
              <w:t>6</w:t>
            </w:r>
          </w:p>
        </w:tc>
      </w:tr>
      <w:tr w:rsidR="004275F9" w14:paraId="15AA415B" w14:textId="77777777" w:rsidTr="004275F9">
        <w:tc>
          <w:tcPr>
            <w:tcW w:w="2013" w:type="dxa"/>
          </w:tcPr>
          <w:p w14:paraId="629A2531" w14:textId="02C96AA3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 w:rsidRPr="004275F9">
              <w:rPr>
                <w:sz w:val="24"/>
                <w:szCs w:val="24"/>
              </w:rPr>
              <w:t>Дотации</w:t>
            </w:r>
          </w:p>
        </w:tc>
        <w:tc>
          <w:tcPr>
            <w:tcW w:w="1564" w:type="dxa"/>
          </w:tcPr>
          <w:p w14:paraId="4E91C242" w14:textId="34DA6252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297 521,5</w:t>
            </w:r>
          </w:p>
        </w:tc>
        <w:tc>
          <w:tcPr>
            <w:tcW w:w="1591" w:type="dxa"/>
          </w:tcPr>
          <w:p w14:paraId="48D648AD" w14:textId="51C5CC27" w:rsidR="004275F9" w:rsidRPr="00F03CC7" w:rsidRDefault="003B7AD0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64" w:type="dxa"/>
          </w:tcPr>
          <w:p w14:paraId="5FAEE17F" w14:textId="0B1326AC" w:rsidR="004275F9" w:rsidRPr="00F03CC7" w:rsidRDefault="00B15960" w:rsidP="00983CB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250 292,3</w:t>
            </w:r>
          </w:p>
        </w:tc>
        <w:tc>
          <w:tcPr>
            <w:tcW w:w="1591" w:type="dxa"/>
          </w:tcPr>
          <w:p w14:paraId="530DBE5F" w14:textId="5D641077" w:rsidR="004275F9" w:rsidRPr="00F03CC7" w:rsidRDefault="001958E7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1589" w:type="dxa"/>
          </w:tcPr>
          <w:p w14:paraId="514D184E" w14:textId="76568131" w:rsidR="004275F9" w:rsidRPr="00F03CC7" w:rsidRDefault="001958E7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-14,2</w:t>
            </w:r>
          </w:p>
        </w:tc>
      </w:tr>
      <w:tr w:rsidR="004275F9" w14:paraId="3D270FF2" w14:textId="77777777" w:rsidTr="004275F9">
        <w:tc>
          <w:tcPr>
            <w:tcW w:w="2013" w:type="dxa"/>
          </w:tcPr>
          <w:p w14:paraId="3F99EB71" w14:textId="6F978FB7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 w:rsidRPr="004275F9">
              <w:rPr>
                <w:sz w:val="24"/>
                <w:szCs w:val="24"/>
              </w:rPr>
              <w:t>Субсидии</w:t>
            </w:r>
          </w:p>
        </w:tc>
        <w:tc>
          <w:tcPr>
            <w:tcW w:w="1564" w:type="dxa"/>
          </w:tcPr>
          <w:p w14:paraId="0EEA2E69" w14:textId="54369E4B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29 651,9</w:t>
            </w:r>
          </w:p>
        </w:tc>
        <w:tc>
          <w:tcPr>
            <w:tcW w:w="1591" w:type="dxa"/>
          </w:tcPr>
          <w:p w14:paraId="49033C40" w14:textId="5BFAE5DC" w:rsidR="004275F9" w:rsidRPr="00F03CC7" w:rsidRDefault="003B7AD0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64" w:type="dxa"/>
          </w:tcPr>
          <w:p w14:paraId="1C2B2F61" w14:textId="6A4247C8" w:rsidR="004275F9" w:rsidRPr="00F03CC7" w:rsidRDefault="00B15960" w:rsidP="00983CB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414,3</w:t>
            </w:r>
          </w:p>
        </w:tc>
        <w:tc>
          <w:tcPr>
            <w:tcW w:w="1591" w:type="dxa"/>
          </w:tcPr>
          <w:p w14:paraId="3FC564B2" w14:textId="5BB37331" w:rsidR="004275F9" w:rsidRPr="00F03CC7" w:rsidRDefault="001958E7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89" w:type="dxa"/>
          </w:tcPr>
          <w:p w14:paraId="12B4CCF2" w14:textId="22B155F4" w:rsidR="004275F9" w:rsidRPr="00F03CC7" w:rsidRDefault="00C90E14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-98,6</w:t>
            </w:r>
          </w:p>
        </w:tc>
      </w:tr>
      <w:tr w:rsidR="004275F9" w14:paraId="264F8E26" w14:textId="77777777" w:rsidTr="004275F9">
        <w:tc>
          <w:tcPr>
            <w:tcW w:w="2013" w:type="dxa"/>
          </w:tcPr>
          <w:p w14:paraId="1E9B7AF4" w14:textId="1FCC74B6" w:rsidR="004275F9" w:rsidRPr="00F03CC7" w:rsidRDefault="004275F9" w:rsidP="00983CB6">
            <w:pPr>
              <w:jc w:val="center"/>
              <w:rPr>
                <w:sz w:val="24"/>
                <w:szCs w:val="24"/>
              </w:rPr>
            </w:pPr>
            <w:r w:rsidRPr="004275F9">
              <w:rPr>
                <w:sz w:val="24"/>
                <w:szCs w:val="24"/>
              </w:rPr>
              <w:t>Субвенции</w:t>
            </w:r>
          </w:p>
        </w:tc>
        <w:tc>
          <w:tcPr>
            <w:tcW w:w="1564" w:type="dxa"/>
          </w:tcPr>
          <w:p w14:paraId="4DC8936B" w14:textId="3EEE44F5" w:rsidR="004275F9" w:rsidRPr="00F03CC7" w:rsidRDefault="003B7AD0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3 284,6</w:t>
            </w:r>
          </w:p>
        </w:tc>
        <w:tc>
          <w:tcPr>
            <w:tcW w:w="1591" w:type="dxa"/>
          </w:tcPr>
          <w:p w14:paraId="22CC533A" w14:textId="659F1B16" w:rsidR="004275F9" w:rsidRPr="00F03CC7" w:rsidRDefault="00B15960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B7AD0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14:paraId="13A1AC5E" w14:textId="37C27901" w:rsidR="004275F9" w:rsidRPr="00F03CC7" w:rsidRDefault="00B15960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4 977,3</w:t>
            </w:r>
            <w:r w:rsidRPr="00770951">
              <w:rPr>
                <w:sz w:val="24"/>
                <w:szCs w:val="24"/>
              </w:rPr>
              <w:t> </w:t>
            </w:r>
          </w:p>
        </w:tc>
        <w:tc>
          <w:tcPr>
            <w:tcW w:w="1591" w:type="dxa"/>
          </w:tcPr>
          <w:p w14:paraId="3C5E52E3" w14:textId="446234B0" w:rsidR="004275F9" w:rsidRPr="00F03CC7" w:rsidRDefault="001958E7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589" w:type="dxa"/>
          </w:tcPr>
          <w:p w14:paraId="099EA5E9" w14:textId="510ACE1E" w:rsidR="004275F9" w:rsidRPr="00F03CC7" w:rsidRDefault="003B7AD0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</w:tr>
    </w:tbl>
    <w:p w14:paraId="4105C24E" w14:textId="7C599D3B" w:rsidR="004275F9" w:rsidRDefault="004275F9" w:rsidP="008D4C17">
      <w:pPr>
        <w:ind w:firstLine="709"/>
        <w:jc w:val="both"/>
        <w:rPr>
          <w:szCs w:val="28"/>
        </w:rPr>
      </w:pPr>
    </w:p>
    <w:p w14:paraId="73FF9707" w14:textId="0EB5B39E" w:rsidR="00C90E14" w:rsidRDefault="00C90E14" w:rsidP="008D4C17">
      <w:pPr>
        <w:ind w:firstLine="709"/>
        <w:jc w:val="both"/>
      </w:pPr>
      <w:r>
        <w:t>В структуре безвозмездных поступлений прослеживается уменьшение всех безвозмездных поступлений.</w:t>
      </w:r>
    </w:p>
    <w:p w14:paraId="26A8F2CA" w14:textId="77777777" w:rsidR="009657D5" w:rsidRDefault="009657D5" w:rsidP="008D4C17">
      <w:pPr>
        <w:ind w:firstLine="709"/>
        <w:jc w:val="both"/>
      </w:pPr>
    </w:p>
    <w:p w14:paraId="7E2920BF" w14:textId="21BD3DFF" w:rsidR="009657D5" w:rsidRDefault="009657D5" w:rsidP="008D4C17">
      <w:pPr>
        <w:ind w:firstLine="709"/>
        <w:jc w:val="both"/>
      </w:pPr>
      <w:r>
        <w:t>Структура и динамика расходной части бюджета Муринского городского поселения Всеволожского муниципального района Ленинградской области на период 2024-2029 годов характеризуется следующими показателями:</w:t>
      </w:r>
    </w:p>
    <w:p w14:paraId="2E7EE2B3" w14:textId="31846088" w:rsidR="009657D5" w:rsidRDefault="009657D5" w:rsidP="009657D5">
      <w:pPr>
        <w:ind w:firstLine="708"/>
      </w:pPr>
      <w:r>
        <w:t xml:space="preserve">                                                                                                                  Тыс. руб.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55"/>
        <w:gridCol w:w="1620"/>
        <w:gridCol w:w="1639"/>
        <w:gridCol w:w="1620"/>
        <w:gridCol w:w="1639"/>
        <w:gridCol w:w="1639"/>
      </w:tblGrid>
      <w:tr w:rsidR="009657D5" w14:paraId="6AE91288" w14:textId="77777777" w:rsidTr="00983CB6">
        <w:tc>
          <w:tcPr>
            <w:tcW w:w="1755" w:type="dxa"/>
          </w:tcPr>
          <w:p w14:paraId="54CBC631" w14:textId="77777777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</w:tcPr>
          <w:p w14:paraId="287F257C" w14:textId="77777777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2024 год</w:t>
            </w:r>
          </w:p>
        </w:tc>
        <w:tc>
          <w:tcPr>
            <w:tcW w:w="1639" w:type="dxa"/>
          </w:tcPr>
          <w:p w14:paraId="30CDDE2A" w14:textId="77777777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Удельный вес в общей сумме доходов в 2024г.</w:t>
            </w:r>
          </w:p>
        </w:tc>
        <w:tc>
          <w:tcPr>
            <w:tcW w:w="1620" w:type="dxa"/>
          </w:tcPr>
          <w:p w14:paraId="64D0BC1C" w14:textId="77777777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2029 год</w:t>
            </w:r>
          </w:p>
        </w:tc>
        <w:tc>
          <w:tcPr>
            <w:tcW w:w="1639" w:type="dxa"/>
          </w:tcPr>
          <w:p w14:paraId="36CD699F" w14:textId="77777777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Удельный вес в общей сумме доходов в 2029г.</w:t>
            </w:r>
          </w:p>
        </w:tc>
        <w:tc>
          <w:tcPr>
            <w:tcW w:w="1639" w:type="dxa"/>
          </w:tcPr>
          <w:p w14:paraId="0159BE60" w14:textId="77777777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Динамика за период 2024-2029 годы</w:t>
            </w:r>
          </w:p>
        </w:tc>
      </w:tr>
      <w:tr w:rsidR="009657D5" w14:paraId="00FAB641" w14:textId="77777777" w:rsidTr="00983CB6">
        <w:tc>
          <w:tcPr>
            <w:tcW w:w="1755" w:type="dxa"/>
          </w:tcPr>
          <w:p w14:paraId="0A78EB50" w14:textId="2BF8A578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 w:rsidRPr="009657D5">
              <w:rPr>
                <w:sz w:val="24"/>
                <w:szCs w:val="24"/>
              </w:rPr>
              <w:t>Расходы</w:t>
            </w:r>
          </w:p>
        </w:tc>
        <w:tc>
          <w:tcPr>
            <w:tcW w:w="1620" w:type="dxa"/>
          </w:tcPr>
          <w:p w14:paraId="5BE81D79" w14:textId="2DA45B94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701 451,1</w:t>
            </w:r>
          </w:p>
        </w:tc>
        <w:tc>
          <w:tcPr>
            <w:tcW w:w="1639" w:type="dxa"/>
          </w:tcPr>
          <w:p w14:paraId="72BF9ABF" w14:textId="77777777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 w:rsidRPr="00F03CC7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</w:tcPr>
          <w:p w14:paraId="3BA091E4" w14:textId="77777777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725 310,4</w:t>
            </w:r>
          </w:p>
        </w:tc>
        <w:tc>
          <w:tcPr>
            <w:tcW w:w="1639" w:type="dxa"/>
          </w:tcPr>
          <w:p w14:paraId="1A099F16" w14:textId="77777777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39" w:type="dxa"/>
          </w:tcPr>
          <w:p w14:paraId="7E28DEDD" w14:textId="70E282F5" w:rsidR="009657D5" w:rsidRPr="00F03CC7" w:rsidRDefault="0084700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9657D5" w14:paraId="1880A29D" w14:textId="77777777" w:rsidTr="00983CB6">
        <w:tc>
          <w:tcPr>
            <w:tcW w:w="1755" w:type="dxa"/>
          </w:tcPr>
          <w:p w14:paraId="2D2E99BB" w14:textId="738EABAD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 w:rsidRPr="009657D5">
              <w:rPr>
                <w:sz w:val="24"/>
                <w:szCs w:val="24"/>
              </w:rPr>
              <w:lastRenderedPageBreak/>
              <w:t>За счет целевых средств</w:t>
            </w:r>
          </w:p>
        </w:tc>
        <w:tc>
          <w:tcPr>
            <w:tcW w:w="1620" w:type="dxa"/>
          </w:tcPr>
          <w:p w14:paraId="6FCC64A9" w14:textId="33FF07AD" w:rsidR="009657D5" w:rsidRPr="00F03CC7" w:rsidRDefault="0084700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33 808,0</w:t>
            </w:r>
          </w:p>
        </w:tc>
        <w:tc>
          <w:tcPr>
            <w:tcW w:w="1639" w:type="dxa"/>
          </w:tcPr>
          <w:p w14:paraId="0F3EA8E9" w14:textId="73913FD5" w:rsidR="009657D5" w:rsidRPr="00F03CC7" w:rsidRDefault="0084700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620" w:type="dxa"/>
          </w:tcPr>
          <w:p w14:paraId="71E2B81A" w14:textId="11912C0A" w:rsidR="009657D5" w:rsidRPr="00F03CC7" w:rsidRDefault="0084700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5 391,6</w:t>
            </w:r>
          </w:p>
        </w:tc>
        <w:tc>
          <w:tcPr>
            <w:tcW w:w="1639" w:type="dxa"/>
          </w:tcPr>
          <w:p w14:paraId="21BDA5E6" w14:textId="198BAE18" w:rsidR="009657D5" w:rsidRPr="00F03CC7" w:rsidRDefault="0084700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639" w:type="dxa"/>
          </w:tcPr>
          <w:p w14:paraId="03922420" w14:textId="7F614634" w:rsidR="009657D5" w:rsidRPr="00F03CC7" w:rsidRDefault="0084700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-84,0</w:t>
            </w:r>
          </w:p>
        </w:tc>
      </w:tr>
      <w:tr w:rsidR="009657D5" w14:paraId="75DA67D2" w14:textId="77777777" w:rsidTr="00983CB6">
        <w:tc>
          <w:tcPr>
            <w:tcW w:w="1755" w:type="dxa"/>
          </w:tcPr>
          <w:p w14:paraId="19EB2359" w14:textId="1103E6E5" w:rsidR="009657D5" w:rsidRPr="00F03CC7" w:rsidRDefault="009657D5" w:rsidP="00983CB6">
            <w:pPr>
              <w:jc w:val="center"/>
              <w:rPr>
                <w:sz w:val="24"/>
                <w:szCs w:val="24"/>
              </w:rPr>
            </w:pPr>
            <w:r w:rsidRPr="009657D5">
              <w:rPr>
                <w:sz w:val="24"/>
                <w:szCs w:val="24"/>
              </w:rPr>
              <w:t>Расходы без учета целевых средств</w:t>
            </w:r>
          </w:p>
        </w:tc>
        <w:tc>
          <w:tcPr>
            <w:tcW w:w="1620" w:type="dxa"/>
          </w:tcPr>
          <w:p w14:paraId="6CB7DDA7" w14:textId="304A4620" w:rsidR="009657D5" w:rsidRPr="00F03CC7" w:rsidRDefault="0084700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667 643,1</w:t>
            </w:r>
          </w:p>
        </w:tc>
        <w:tc>
          <w:tcPr>
            <w:tcW w:w="1639" w:type="dxa"/>
          </w:tcPr>
          <w:p w14:paraId="64BF4514" w14:textId="72900B60" w:rsidR="009657D5" w:rsidRPr="00F03CC7" w:rsidRDefault="0084700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1620" w:type="dxa"/>
          </w:tcPr>
          <w:p w14:paraId="18CA0262" w14:textId="17AAC954" w:rsidR="009657D5" w:rsidRPr="00F03CC7" w:rsidRDefault="0084700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719 918,8</w:t>
            </w:r>
          </w:p>
        </w:tc>
        <w:tc>
          <w:tcPr>
            <w:tcW w:w="1639" w:type="dxa"/>
          </w:tcPr>
          <w:p w14:paraId="18CA3595" w14:textId="67495050" w:rsidR="009657D5" w:rsidRPr="00F03CC7" w:rsidRDefault="0084700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1639" w:type="dxa"/>
          </w:tcPr>
          <w:p w14:paraId="20764FA6" w14:textId="6E2342A0" w:rsidR="009657D5" w:rsidRPr="00F03CC7" w:rsidRDefault="00847009" w:rsidP="0098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</w:tbl>
    <w:p w14:paraId="678683E5" w14:textId="77777777" w:rsidR="009657D5" w:rsidRDefault="009657D5" w:rsidP="008D4C17">
      <w:pPr>
        <w:ind w:firstLine="709"/>
        <w:jc w:val="both"/>
        <w:rPr>
          <w:szCs w:val="28"/>
        </w:rPr>
      </w:pPr>
    </w:p>
    <w:p w14:paraId="123B75B9" w14:textId="77777777" w:rsidR="003B7AD0" w:rsidRDefault="003B7AD0" w:rsidP="008D4C17">
      <w:pPr>
        <w:ind w:firstLine="709"/>
        <w:jc w:val="both"/>
      </w:pPr>
      <w:r>
        <w:t>В долгосрочной перспективе существенных изменений в структуре расходов Муринского городского поселения Всеволожского муниципального района Ленинградской области не ожидается: расходы без учета целевых средств, направляемых на реализацию мероприятий в рамках государственных программ Ленинградской области, останутся в прежнем объеме. Долгосрочный прогноз бюджета Муринского городского поселения Всеволожского муниципального района Ленинградской области по расходной части рассчитан исходя из:</w:t>
      </w:r>
    </w:p>
    <w:p w14:paraId="79DFC4E4" w14:textId="77777777" w:rsidR="003B7AD0" w:rsidRDefault="003B7AD0" w:rsidP="008D4C17">
      <w:pPr>
        <w:ind w:firstLine="709"/>
        <w:jc w:val="both"/>
      </w:pPr>
      <w:r>
        <w:t xml:space="preserve"> - индекса потребительских цен; </w:t>
      </w:r>
    </w:p>
    <w:p w14:paraId="193D0702" w14:textId="77777777" w:rsidR="003B7AD0" w:rsidRDefault="003B7AD0" w:rsidP="008D4C17">
      <w:pPr>
        <w:ind w:firstLine="709"/>
        <w:jc w:val="both"/>
      </w:pPr>
      <w:r>
        <w:t xml:space="preserve">- объемов дорожного фонда; </w:t>
      </w:r>
    </w:p>
    <w:p w14:paraId="756A357B" w14:textId="77777777" w:rsidR="003B7AD0" w:rsidRDefault="003B7AD0" w:rsidP="008D4C17">
      <w:pPr>
        <w:ind w:firstLine="709"/>
        <w:jc w:val="both"/>
      </w:pPr>
      <w:r>
        <w:t xml:space="preserve">- уровня безвозмездных поступлений. </w:t>
      </w:r>
    </w:p>
    <w:p w14:paraId="44194D25" w14:textId="77777777" w:rsidR="003B7AD0" w:rsidRDefault="003B7AD0" w:rsidP="008D4C17">
      <w:pPr>
        <w:ind w:firstLine="709"/>
        <w:jc w:val="both"/>
      </w:pPr>
    </w:p>
    <w:p w14:paraId="5B21F71D" w14:textId="77777777" w:rsidR="003B7AD0" w:rsidRDefault="003B7AD0" w:rsidP="008D4C17">
      <w:pPr>
        <w:ind w:firstLine="709"/>
        <w:jc w:val="both"/>
      </w:pPr>
      <w:r>
        <w:t xml:space="preserve">Дефицит бюджета Муринского городского поселения Всеволожского муниципального района Ленинградской области. </w:t>
      </w:r>
    </w:p>
    <w:p w14:paraId="00B15A97" w14:textId="77777777" w:rsidR="00D61B6A" w:rsidRDefault="003B7AD0" w:rsidP="008D4C17">
      <w:pPr>
        <w:ind w:firstLine="709"/>
        <w:jc w:val="both"/>
      </w:pPr>
      <w:r>
        <w:t xml:space="preserve">В 2024 году дефицит бюджета Муринского городского поселения Всеволожского муниципального района Ленинградской области составит </w:t>
      </w:r>
      <w:r w:rsidR="008F5544">
        <w:t>2</w:t>
      </w:r>
      <w:r>
        <w:t xml:space="preserve">,7% от величины годового объема доходов бюджета без учета утвержденного объема безвозмездных поступлений. Ожидается, что к 2029 году дефицит бюджета </w:t>
      </w:r>
      <w:r w:rsidR="00D61B6A">
        <w:t>Муринского</w:t>
      </w:r>
      <w:r>
        <w:t xml:space="preserve"> городского поселения Всеволожского муниципального района Ленинградской области будет составлять 0,0% от объема доходов бюджета (без учета утвержденного объема безвозмездных поступлений и поступлений налоговых доходов по дополнительным нормативам отчислений). </w:t>
      </w:r>
    </w:p>
    <w:p w14:paraId="694459A3" w14:textId="560B1816" w:rsidR="003B7AD0" w:rsidRDefault="003B7AD0" w:rsidP="008D4C17">
      <w:pPr>
        <w:ind w:firstLine="709"/>
        <w:jc w:val="both"/>
      </w:pPr>
      <w:r>
        <w:t xml:space="preserve">Основные параметры бюджета </w:t>
      </w:r>
      <w:r w:rsidR="00D61B6A">
        <w:t>Муринского</w:t>
      </w:r>
      <w:r>
        <w:t xml:space="preserve"> городского поселения Всеволожского муниципального района Ленинградской области на период до 2029 года представлены в приложении 1.</w:t>
      </w:r>
    </w:p>
    <w:p w14:paraId="00E6F8A9" w14:textId="77777777" w:rsidR="00D61B6A" w:rsidRDefault="00D61B6A" w:rsidP="008D4C17">
      <w:pPr>
        <w:ind w:firstLine="709"/>
        <w:jc w:val="both"/>
      </w:pPr>
    </w:p>
    <w:p w14:paraId="60F406ED" w14:textId="41821132" w:rsidR="00D61B6A" w:rsidRDefault="00D61B6A" w:rsidP="008D4C17">
      <w:pPr>
        <w:ind w:firstLine="709"/>
        <w:jc w:val="both"/>
      </w:pPr>
      <w:r>
        <w:t>Показатели финансового обеспечения муниципальных программ Муринского городского поселения Всеволожского муниципального района Ленинградской области на период до 2029 года.</w:t>
      </w:r>
    </w:p>
    <w:p w14:paraId="188407B0" w14:textId="6E284479" w:rsidR="00D61B6A" w:rsidRDefault="00D61B6A" w:rsidP="008D4C17">
      <w:pPr>
        <w:ind w:firstLine="709"/>
        <w:jc w:val="both"/>
      </w:pPr>
      <w:r>
        <w:t>В Муринском городском поселении Всеволожского муниципального района Ленинградской области утверждена 11 муниципальная программа, а именно:</w:t>
      </w:r>
    </w:p>
    <w:p w14:paraId="07784A71" w14:textId="77777777" w:rsidR="00D61B6A" w:rsidRDefault="00D61B6A" w:rsidP="008D4C17">
      <w:pPr>
        <w:ind w:firstLine="709"/>
        <w:jc w:val="both"/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5D44FA" w:rsidRPr="00FD7C00" w14:paraId="579348F5" w14:textId="77777777" w:rsidTr="005D44FA">
        <w:tc>
          <w:tcPr>
            <w:tcW w:w="9810" w:type="dxa"/>
          </w:tcPr>
          <w:p w14:paraId="129ADDD4" w14:textId="77777777" w:rsidR="005D44FA" w:rsidRPr="00FD7C00" w:rsidRDefault="005D44FA" w:rsidP="00983CB6">
            <w:pPr>
              <w:jc w:val="both"/>
            </w:pPr>
            <w:r w:rsidRPr="00FD7C00">
              <w:t xml:space="preserve">Наименование программы </w:t>
            </w:r>
          </w:p>
        </w:tc>
      </w:tr>
      <w:tr w:rsidR="005D44FA" w:rsidRPr="00FD7C00" w14:paraId="3F81B6D5" w14:textId="77777777" w:rsidTr="005D44FA">
        <w:tc>
          <w:tcPr>
            <w:tcW w:w="9810" w:type="dxa"/>
          </w:tcPr>
          <w:p w14:paraId="4862D46B" w14:textId="77777777" w:rsidR="005D44FA" w:rsidRPr="00FD7C00" w:rsidRDefault="005D44FA" w:rsidP="00983CB6">
            <w:pPr>
              <w:jc w:val="both"/>
            </w:pPr>
            <w:r w:rsidRPr="00FD7C00">
              <w:t>1.Программа «Обеспечение безопасности на территории МО «Муринское городское поселение» ВМР ЛО</w:t>
            </w:r>
          </w:p>
        </w:tc>
      </w:tr>
      <w:tr w:rsidR="005D44FA" w:rsidRPr="00FD7C00" w14:paraId="49972EFC" w14:textId="77777777" w:rsidTr="005D44FA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E28B" w14:textId="77777777" w:rsidR="005D44FA" w:rsidRPr="00FD7C00" w:rsidRDefault="005D44FA" w:rsidP="00983CB6">
            <w:pPr>
              <w:jc w:val="both"/>
            </w:pPr>
            <w:r w:rsidRPr="00FD7C00">
              <w:t xml:space="preserve">2.Программа «Развитие и функционирование дорожно-транспортного комплекса МО «Муринское городское поселение» ВМР ЛО </w:t>
            </w:r>
          </w:p>
        </w:tc>
      </w:tr>
      <w:tr w:rsidR="005D44FA" w:rsidRPr="005D44FA" w14:paraId="27C703AA" w14:textId="77777777" w:rsidTr="005D44FA">
        <w:tc>
          <w:tcPr>
            <w:tcW w:w="9810" w:type="dxa"/>
          </w:tcPr>
          <w:p w14:paraId="47F265E5" w14:textId="77777777" w:rsidR="005D44FA" w:rsidRPr="00FD7C00" w:rsidRDefault="005D44FA" w:rsidP="00983CB6">
            <w:pPr>
              <w:jc w:val="both"/>
            </w:pPr>
            <w:r w:rsidRPr="00FD7C00">
              <w:lastRenderedPageBreak/>
              <w:t>3.Программа «Устойчивое функционирование и развитие коммунальной инфраструктуры и повышение энергоэффективности в МО «Муринское городское поселение» ВМР ЛО</w:t>
            </w:r>
          </w:p>
        </w:tc>
      </w:tr>
      <w:tr w:rsidR="005D44FA" w:rsidRPr="00FD7C00" w14:paraId="74871D71" w14:textId="77777777" w:rsidTr="005D44FA">
        <w:tc>
          <w:tcPr>
            <w:tcW w:w="9810" w:type="dxa"/>
          </w:tcPr>
          <w:p w14:paraId="18E4698D" w14:textId="77777777" w:rsidR="005D44FA" w:rsidRPr="00FD7C00" w:rsidRDefault="005D44FA" w:rsidP="00983CB6">
            <w:pPr>
              <w:jc w:val="both"/>
            </w:pPr>
            <w:r w:rsidRPr="00F15BFF">
              <w:t>4</w:t>
            </w:r>
            <w:r w:rsidRPr="00FD7C00">
              <w:t>.Программа «Управление имуществом и финансами муниципальной службы МО «Муринское городское поселение» ВМР ЛО</w:t>
            </w:r>
          </w:p>
        </w:tc>
      </w:tr>
      <w:tr w:rsidR="005D44FA" w:rsidRPr="00FD7C00" w14:paraId="409CBFDC" w14:textId="77777777" w:rsidTr="005D44FA">
        <w:tc>
          <w:tcPr>
            <w:tcW w:w="9810" w:type="dxa"/>
          </w:tcPr>
          <w:p w14:paraId="7E816375" w14:textId="77777777" w:rsidR="005D44FA" w:rsidRPr="00FD7C00" w:rsidRDefault="005D44FA" w:rsidP="00983CB6">
            <w:pPr>
              <w:jc w:val="both"/>
            </w:pPr>
            <w:r w:rsidRPr="00F15BFF">
              <w:t>5</w:t>
            </w:r>
            <w:r w:rsidRPr="00FD7C00">
              <w:t>. Программа «Устойчивое общественное развитие в МО «Муринское городское поселение» ВМР ЛО</w:t>
            </w:r>
          </w:p>
        </w:tc>
      </w:tr>
      <w:tr w:rsidR="005D44FA" w:rsidRPr="00FD7C00" w14:paraId="5447CC8F" w14:textId="77777777" w:rsidTr="005D44FA">
        <w:tc>
          <w:tcPr>
            <w:tcW w:w="9810" w:type="dxa"/>
          </w:tcPr>
          <w:p w14:paraId="58793A88" w14:textId="77777777" w:rsidR="005D44FA" w:rsidRPr="00FD7C00" w:rsidRDefault="005D44FA" w:rsidP="00983CB6">
            <w:pPr>
              <w:jc w:val="both"/>
            </w:pPr>
            <w:r w:rsidRPr="00F15BFF">
              <w:t>6</w:t>
            </w:r>
            <w:r w:rsidRPr="00FD7C00">
              <w:t>.Программа «Адресная социальная поддержка МО «Муринское городское поселение» ВМР ЛО</w:t>
            </w:r>
          </w:p>
        </w:tc>
      </w:tr>
      <w:tr w:rsidR="005D44FA" w:rsidRPr="00FD7C00" w14:paraId="1AC5F46F" w14:textId="77777777" w:rsidTr="005D44FA">
        <w:tc>
          <w:tcPr>
            <w:tcW w:w="9810" w:type="dxa"/>
          </w:tcPr>
          <w:p w14:paraId="617F679C" w14:textId="77777777" w:rsidR="005D44FA" w:rsidRPr="00FD7C00" w:rsidRDefault="005D44FA" w:rsidP="00983CB6">
            <w:pPr>
              <w:jc w:val="both"/>
            </w:pPr>
            <w:r w:rsidRPr="00F15BFF">
              <w:t>7</w:t>
            </w:r>
            <w:r w:rsidRPr="00FD7C00">
              <w:t>.Программа «Развитие культуры в МО «Муринское городское поселение» ВМР ЛО</w:t>
            </w:r>
          </w:p>
        </w:tc>
      </w:tr>
      <w:tr w:rsidR="005D44FA" w:rsidRPr="00FD7C00" w14:paraId="2C89BA8E" w14:textId="77777777" w:rsidTr="005D44FA">
        <w:tc>
          <w:tcPr>
            <w:tcW w:w="9810" w:type="dxa"/>
          </w:tcPr>
          <w:p w14:paraId="373F033E" w14:textId="77777777" w:rsidR="005D44FA" w:rsidRPr="00FD7C00" w:rsidRDefault="005D44FA" w:rsidP="00983CB6">
            <w:pPr>
              <w:jc w:val="both"/>
            </w:pPr>
            <w:r w:rsidRPr="00F15BFF">
              <w:t>8</w:t>
            </w:r>
            <w:r w:rsidRPr="00FD7C00">
              <w:t>.Программа «Развитие физической культуры и спорта в МО «Муринское городское поселение» ВМР ЛО</w:t>
            </w:r>
          </w:p>
        </w:tc>
      </w:tr>
      <w:tr w:rsidR="005D44FA" w:rsidRPr="00FD7C00" w14:paraId="6CF3697D" w14:textId="77777777" w:rsidTr="005D44FA">
        <w:tc>
          <w:tcPr>
            <w:tcW w:w="9810" w:type="dxa"/>
          </w:tcPr>
          <w:p w14:paraId="3AC6B201" w14:textId="77777777" w:rsidR="005D44FA" w:rsidRPr="00FD7C00" w:rsidRDefault="005D44FA" w:rsidP="00983CB6">
            <w:pPr>
              <w:jc w:val="both"/>
            </w:pPr>
            <w:r w:rsidRPr="00F15BFF">
              <w:t>9</w:t>
            </w:r>
            <w:r w:rsidRPr="00FD7C00">
              <w:t>.Программа «Развитие молодежной политики, межнациональных и межконфессиональных отношений в МО «Муринское городское поселение» ВМР ЛО</w:t>
            </w:r>
          </w:p>
        </w:tc>
      </w:tr>
      <w:tr w:rsidR="005D44FA" w:rsidRPr="00FD7C00" w14:paraId="074866A8" w14:textId="77777777" w:rsidTr="005D44FA">
        <w:tc>
          <w:tcPr>
            <w:tcW w:w="9810" w:type="dxa"/>
          </w:tcPr>
          <w:p w14:paraId="5122D96B" w14:textId="77777777" w:rsidR="005D44FA" w:rsidRPr="00FD7C00" w:rsidRDefault="005D44FA" w:rsidP="00983CB6">
            <w:pPr>
              <w:jc w:val="both"/>
            </w:pPr>
            <w:r w:rsidRPr="00FD7C00">
              <w:t>1</w:t>
            </w:r>
            <w:r w:rsidRPr="00F15BFF">
              <w:t>0</w:t>
            </w:r>
            <w:r w:rsidRPr="00FD7C00">
              <w:t>.Программа «Стимулирование экономической активности на территории МО «Муринское городское поселение» ВМР ЛО</w:t>
            </w:r>
          </w:p>
        </w:tc>
      </w:tr>
      <w:tr w:rsidR="005D44FA" w:rsidRPr="00FD7C00" w14:paraId="157F4547" w14:textId="77777777" w:rsidTr="005D44FA">
        <w:tc>
          <w:tcPr>
            <w:tcW w:w="9810" w:type="dxa"/>
          </w:tcPr>
          <w:p w14:paraId="7F96F2B3" w14:textId="77777777" w:rsidR="005D44FA" w:rsidRPr="00FD7C00" w:rsidRDefault="005D44FA" w:rsidP="00983CB6">
            <w:pPr>
              <w:jc w:val="both"/>
            </w:pPr>
            <w:r w:rsidRPr="00FD7C00">
              <w:t>1</w:t>
            </w:r>
            <w:r w:rsidRPr="00F15BFF">
              <w:t>1</w:t>
            </w:r>
            <w:r w:rsidRPr="00FD7C00">
              <w:t>. Программа «Благоустройство на территории МО «Муринское городское поселение» ВМР ЛО</w:t>
            </w:r>
          </w:p>
        </w:tc>
      </w:tr>
    </w:tbl>
    <w:p w14:paraId="076396BF" w14:textId="77777777" w:rsidR="00D61B6A" w:rsidRDefault="00D61B6A" w:rsidP="008D4C17">
      <w:pPr>
        <w:ind w:firstLine="709"/>
        <w:jc w:val="both"/>
        <w:rPr>
          <w:szCs w:val="28"/>
        </w:rPr>
      </w:pPr>
    </w:p>
    <w:p w14:paraId="1C445C71" w14:textId="65A10AD4" w:rsidR="005D44FA" w:rsidRDefault="005D44FA" w:rsidP="008D4C17">
      <w:pPr>
        <w:ind w:firstLine="709"/>
        <w:jc w:val="both"/>
      </w:pPr>
      <w:r>
        <w:t xml:space="preserve">Все муниципальные программы, а значит, и объемы финансового обеспечения муниципальных программ, утверждены на срок до 2029 года. </w:t>
      </w:r>
    </w:p>
    <w:p w14:paraId="40F1947D" w14:textId="77777777" w:rsidR="005D44FA" w:rsidRDefault="005D44FA" w:rsidP="008D4C17">
      <w:pPr>
        <w:ind w:firstLine="709"/>
        <w:jc w:val="both"/>
      </w:pPr>
    </w:p>
    <w:p w14:paraId="68234EFE" w14:textId="77777777" w:rsidR="005D44FA" w:rsidRDefault="005D44FA" w:rsidP="008D4C17">
      <w:pPr>
        <w:ind w:firstLine="709"/>
        <w:jc w:val="both"/>
      </w:pPr>
    </w:p>
    <w:p w14:paraId="12919F17" w14:textId="77777777" w:rsidR="005D44FA" w:rsidRDefault="005D44FA" w:rsidP="008D4C17">
      <w:pPr>
        <w:ind w:firstLine="709"/>
        <w:jc w:val="both"/>
      </w:pPr>
    </w:p>
    <w:p w14:paraId="0BD1159C" w14:textId="77777777" w:rsidR="005D44FA" w:rsidRDefault="005D44FA" w:rsidP="008D4C17">
      <w:pPr>
        <w:ind w:firstLine="709"/>
        <w:jc w:val="both"/>
      </w:pPr>
    </w:p>
    <w:p w14:paraId="1F54D58D" w14:textId="77777777" w:rsidR="005D44FA" w:rsidRDefault="005D44FA" w:rsidP="008D4C17">
      <w:pPr>
        <w:ind w:firstLine="709"/>
        <w:jc w:val="both"/>
      </w:pPr>
    </w:p>
    <w:p w14:paraId="22C2DA52" w14:textId="77777777" w:rsidR="005D44FA" w:rsidRDefault="005D44FA" w:rsidP="008D4C17">
      <w:pPr>
        <w:ind w:firstLine="709"/>
        <w:jc w:val="both"/>
      </w:pPr>
    </w:p>
    <w:p w14:paraId="77BBB1F0" w14:textId="77777777" w:rsidR="005D44FA" w:rsidRDefault="005D44FA" w:rsidP="008D4C17">
      <w:pPr>
        <w:ind w:firstLine="709"/>
        <w:jc w:val="both"/>
      </w:pPr>
    </w:p>
    <w:p w14:paraId="610B1F8F" w14:textId="77777777" w:rsidR="005D44FA" w:rsidRDefault="005D44FA" w:rsidP="008D4C17">
      <w:pPr>
        <w:ind w:firstLine="709"/>
        <w:jc w:val="both"/>
      </w:pPr>
    </w:p>
    <w:p w14:paraId="19988D16" w14:textId="77777777" w:rsidR="005D44FA" w:rsidRDefault="005D44FA" w:rsidP="008D4C17">
      <w:pPr>
        <w:ind w:firstLine="709"/>
        <w:jc w:val="both"/>
      </w:pPr>
    </w:p>
    <w:p w14:paraId="3E545D7D" w14:textId="77777777" w:rsidR="005D44FA" w:rsidRDefault="005D44FA" w:rsidP="008D4C17">
      <w:pPr>
        <w:ind w:firstLine="709"/>
        <w:jc w:val="both"/>
      </w:pPr>
    </w:p>
    <w:p w14:paraId="42A4A2A3" w14:textId="77777777" w:rsidR="005D44FA" w:rsidRDefault="005D44FA" w:rsidP="008D4C17">
      <w:pPr>
        <w:ind w:firstLine="709"/>
        <w:jc w:val="both"/>
      </w:pPr>
    </w:p>
    <w:p w14:paraId="3BC1D61D" w14:textId="77777777" w:rsidR="005D44FA" w:rsidRDefault="005D44FA" w:rsidP="008D4C17">
      <w:pPr>
        <w:ind w:firstLine="709"/>
        <w:jc w:val="both"/>
      </w:pPr>
    </w:p>
    <w:p w14:paraId="2D740A5E" w14:textId="77777777" w:rsidR="005D44FA" w:rsidRDefault="005D44FA" w:rsidP="008D4C17">
      <w:pPr>
        <w:ind w:firstLine="709"/>
        <w:jc w:val="both"/>
      </w:pPr>
    </w:p>
    <w:p w14:paraId="43EDD45A" w14:textId="77777777" w:rsidR="005D44FA" w:rsidRDefault="005D44FA" w:rsidP="008D4C17">
      <w:pPr>
        <w:ind w:firstLine="709"/>
        <w:jc w:val="both"/>
      </w:pPr>
    </w:p>
    <w:p w14:paraId="725A3B16" w14:textId="77777777" w:rsidR="005D44FA" w:rsidRDefault="005D44FA" w:rsidP="008D4C17">
      <w:pPr>
        <w:ind w:firstLine="709"/>
        <w:jc w:val="both"/>
      </w:pPr>
    </w:p>
    <w:p w14:paraId="469B1FBE" w14:textId="77777777" w:rsidR="005D44FA" w:rsidRDefault="005D44FA" w:rsidP="008D4C17">
      <w:pPr>
        <w:ind w:firstLine="709"/>
        <w:jc w:val="both"/>
      </w:pPr>
    </w:p>
    <w:p w14:paraId="308CC229" w14:textId="77777777" w:rsidR="005D44FA" w:rsidRDefault="005D44FA" w:rsidP="008D4C17">
      <w:pPr>
        <w:ind w:firstLine="709"/>
        <w:jc w:val="both"/>
      </w:pPr>
    </w:p>
    <w:p w14:paraId="065725F4" w14:textId="77777777" w:rsidR="005D44FA" w:rsidRDefault="005D44FA" w:rsidP="008D4C17">
      <w:pPr>
        <w:ind w:firstLine="709"/>
        <w:jc w:val="both"/>
      </w:pPr>
    </w:p>
    <w:p w14:paraId="36E33C0C" w14:textId="77777777" w:rsidR="005D44FA" w:rsidRDefault="005D44FA" w:rsidP="008D4C17">
      <w:pPr>
        <w:ind w:firstLine="709"/>
        <w:jc w:val="both"/>
      </w:pPr>
    </w:p>
    <w:p w14:paraId="39F7D4C3" w14:textId="77777777" w:rsidR="005D44FA" w:rsidRDefault="005D44FA" w:rsidP="008D4C17">
      <w:pPr>
        <w:ind w:firstLine="709"/>
        <w:jc w:val="both"/>
      </w:pPr>
    </w:p>
    <w:p w14:paraId="5054B08F" w14:textId="77777777" w:rsidR="005D44FA" w:rsidRDefault="005D44FA" w:rsidP="008D4C17">
      <w:pPr>
        <w:ind w:firstLine="709"/>
        <w:jc w:val="both"/>
        <w:rPr>
          <w:szCs w:val="28"/>
        </w:rPr>
        <w:sectPr w:rsidR="005D44FA" w:rsidSect="004B2470">
          <w:pgSz w:w="11906" w:h="16838"/>
          <w:pgMar w:top="1134" w:right="707" w:bottom="1134" w:left="1134" w:header="709" w:footer="709" w:gutter="0"/>
          <w:cols w:space="708"/>
          <w:titlePg/>
          <w:docGrid w:linePitch="381"/>
        </w:sectPr>
      </w:pPr>
    </w:p>
    <w:p w14:paraId="471373F7" w14:textId="77777777" w:rsidR="005D44FA" w:rsidRDefault="005D44FA" w:rsidP="008D4C17">
      <w:pPr>
        <w:ind w:firstLine="709"/>
        <w:jc w:val="both"/>
        <w:rPr>
          <w:szCs w:val="28"/>
        </w:rPr>
      </w:pPr>
    </w:p>
    <w:p w14:paraId="786F845D" w14:textId="77777777" w:rsidR="005C3BAA" w:rsidRDefault="005C3BAA" w:rsidP="005C3BAA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D45669C" w14:textId="77777777" w:rsidR="005C3BAA" w:rsidRDefault="005C3BAA" w:rsidP="005C3BAA">
      <w:pPr>
        <w:pStyle w:val="Default"/>
      </w:pPr>
    </w:p>
    <w:p w14:paraId="4C7EBA14" w14:textId="5A7E3674" w:rsidR="005C3BAA" w:rsidRDefault="005C3BAA" w:rsidP="005C3BAA">
      <w:pPr>
        <w:pStyle w:val="Default"/>
        <w:jc w:val="right"/>
      </w:pPr>
      <w:r w:rsidRPr="005C3BAA">
        <w:t>Приложение 1</w:t>
      </w:r>
    </w:p>
    <w:p w14:paraId="4A025A87" w14:textId="77777777" w:rsidR="005C3BAA" w:rsidRPr="005C3BAA" w:rsidRDefault="005C3BAA" w:rsidP="005C3BAA">
      <w:pPr>
        <w:pStyle w:val="Default"/>
        <w:jc w:val="right"/>
      </w:pPr>
    </w:p>
    <w:p w14:paraId="7BBF7A95" w14:textId="507D29BA" w:rsidR="005C3BAA" w:rsidRDefault="005C3BAA" w:rsidP="005C3BAA">
      <w:pPr>
        <w:tabs>
          <w:tab w:val="left" w:pos="2760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C3BA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Основные параметры бюджета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Муринского</w:t>
      </w:r>
      <w:r w:rsidRPr="005C3BA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городского поселения Всеволожского муниципального района Ленинградской области на долгосрочный период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до 2029г.</w:t>
      </w:r>
    </w:p>
    <w:p w14:paraId="2C20831C" w14:textId="5A16C058" w:rsidR="005C3BAA" w:rsidRPr="005C3BAA" w:rsidRDefault="005C3BAA" w:rsidP="005C3BAA">
      <w:pPr>
        <w:ind w:firstLine="708"/>
        <w:jc w:val="right"/>
      </w:pPr>
      <w:r w:rsidRPr="005C3BAA">
        <w:t>тыс. рублей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576"/>
        <w:gridCol w:w="5373"/>
        <w:gridCol w:w="1701"/>
        <w:gridCol w:w="1417"/>
        <w:gridCol w:w="1418"/>
        <w:gridCol w:w="1559"/>
        <w:gridCol w:w="1418"/>
        <w:gridCol w:w="1417"/>
      </w:tblGrid>
      <w:tr w:rsidR="005C3BAA" w:rsidRPr="004C2513" w14:paraId="00DB4D9C" w14:textId="77777777" w:rsidTr="00AA0B84">
        <w:trPr>
          <w:trHeight w:val="26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777D" w14:textId="77777777" w:rsidR="005C3BAA" w:rsidRPr="004C2513" w:rsidRDefault="005C3BAA" w:rsidP="00CC290F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5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BECA" w14:textId="77777777" w:rsidR="005C3BAA" w:rsidRPr="004C2513" w:rsidRDefault="005C3BAA" w:rsidP="00CC290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Показатели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DD9B" w14:textId="6D015A5E" w:rsidR="005C3BAA" w:rsidRPr="004C2513" w:rsidRDefault="005C3BAA" w:rsidP="00CC290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sz w:val="22"/>
                <w:lang w:eastAsia="ru-RU"/>
              </w:rPr>
              <w:t>Прогноз</w:t>
            </w:r>
          </w:p>
        </w:tc>
      </w:tr>
      <w:tr w:rsidR="005C3BAA" w:rsidRPr="004C2513" w14:paraId="24AF566E" w14:textId="77777777" w:rsidTr="00AA0B84">
        <w:trPr>
          <w:trHeight w:val="115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0E0B" w14:textId="77777777" w:rsidR="005C3BAA" w:rsidRPr="004C2513" w:rsidRDefault="005C3BAA" w:rsidP="00CC290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5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BAED" w14:textId="77777777" w:rsidR="005C3BAA" w:rsidRPr="004C2513" w:rsidRDefault="005C3BAA" w:rsidP="00CC290F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9BDC" w14:textId="7BAF8427" w:rsidR="005C3BAA" w:rsidRPr="004C2513" w:rsidRDefault="005C3BAA" w:rsidP="00CC290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2050" w14:textId="6993F246" w:rsidR="005C3BAA" w:rsidRPr="004C2513" w:rsidRDefault="005C3BAA" w:rsidP="00CC290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6B49" w14:textId="1B146EC7" w:rsidR="005C3BAA" w:rsidRPr="004C2513" w:rsidRDefault="005C3BAA" w:rsidP="00CC290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C1A2" w14:textId="35896FFF" w:rsidR="005C3BAA" w:rsidRPr="004C2513" w:rsidRDefault="005C3BAA" w:rsidP="00CC290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5644" w14:textId="5F1E3110" w:rsidR="005C3BAA" w:rsidRPr="004C2513" w:rsidRDefault="005C3BAA" w:rsidP="00CC290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568D" w14:textId="3E8E8A70" w:rsidR="005C3BAA" w:rsidRPr="004C2513" w:rsidRDefault="005C3BAA" w:rsidP="00CC290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  <w:r w:rsidRPr="004C251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5C3BAA" w:rsidRPr="004C2513" w14:paraId="3D51FED4" w14:textId="77777777" w:rsidTr="00AA0B84">
        <w:trPr>
          <w:trHeight w:val="52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6FA79C" w14:textId="38F9B2F2" w:rsidR="005C3BAA" w:rsidRPr="006C6DFE" w:rsidRDefault="005C3BAA" w:rsidP="00CC290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2BB" w14:textId="77777777" w:rsidR="00AA0B84" w:rsidRPr="006C6DFE" w:rsidRDefault="00AA0B84" w:rsidP="00AA0B84">
            <w:pPr>
              <w:pStyle w:val="Default"/>
            </w:pPr>
            <w:r w:rsidRPr="006C6DFE">
              <w:t>Доходы - всего, в том числе:</w:t>
            </w:r>
          </w:p>
          <w:p w14:paraId="147DF267" w14:textId="4D10B2F9" w:rsidR="005C3BAA" w:rsidRPr="006C6DFE" w:rsidRDefault="005C3BAA" w:rsidP="00CC29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9CEC" w14:textId="461F7F53" w:rsidR="005C3BAA" w:rsidRPr="006C6DFE" w:rsidRDefault="006C6DFE" w:rsidP="006C6DF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691 682,1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F209" w14:textId="11B42788" w:rsidR="005C3BAA" w:rsidRPr="006C6DFE" w:rsidRDefault="00AC642F" w:rsidP="00CC290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685 352,3</w:t>
            </w:r>
            <w:r w:rsidR="005C3BAA" w:rsidRPr="006C6DF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171E" w14:textId="707EAED6" w:rsidR="005C3BAA" w:rsidRPr="006C6DFE" w:rsidRDefault="005C3BAA" w:rsidP="00CC290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F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6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670 982,1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9731" w14:textId="6C56117F" w:rsidR="005C3BAA" w:rsidRPr="006C6DFE" w:rsidRDefault="004E3844" w:rsidP="004E384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694 265,7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FC9B" w14:textId="1AAB252C" w:rsidR="005C3BAA" w:rsidRPr="006C6DFE" w:rsidRDefault="004E3844" w:rsidP="004E384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711 108,6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9CEE" w14:textId="484A9296" w:rsidR="005C3BAA" w:rsidRPr="006C6DFE" w:rsidRDefault="006C6DFE" w:rsidP="006C6DF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725 310,4</w:t>
            </w:r>
          </w:p>
        </w:tc>
      </w:tr>
      <w:tr w:rsidR="005C3BAA" w:rsidRPr="004C2513" w14:paraId="58B902FB" w14:textId="77777777" w:rsidTr="00AA0B84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A9F318" w14:textId="6E4EE79E" w:rsidR="005C3BAA" w:rsidRPr="006C6DFE" w:rsidRDefault="00AA0B84" w:rsidP="006C6DFE">
            <w:pPr>
              <w:pStyle w:val="Default"/>
            </w:pPr>
            <w:r w:rsidRPr="006C6DFE">
              <w:t>1.</w:t>
            </w:r>
            <w:r w:rsidR="005C3BAA" w:rsidRPr="006C6DFE">
              <w:t> 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8A9F" w14:textId="77777777" w:rsidR="00AA0B84" w:rsidRPr="006C6DFE" w:rsidRDefault="00AA0B84" w:rsidP="006C6DFE">
            <w:pPr>
              <w:pStyle w:val="Default"/>
            </w:pPr>
            <w:r w:rsidRPr="006C6DFE">
              <w:t>Налоговые и неналоговые доходы</w:t>
            </w:r>
          </w:p>
          <w:p w14:paraId="4BDF9EA8" w14:textId="06BEDC16" w:rsidR="005C3BAA" w:rsidRPr="006C6DFE" w:rsidRDefault="005C3BAA" w:rsidP="006C6DFE">
            <w:pPr>
              <w:pStyle w:val="Defaul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268" w14:textId="4782542E" w:rsidR="005C3BAA" w:rsidRPr="006C6DFE" w:rsidRDefault="006C6DFE" w:rsidP="006C6DFE">
            <w:pPr>
              <w:pStyle w:val="Default"/>
              <w:jc w:val="center"/>
            </w:pPr>
            <w:r>
              <w:t>361 224,1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A9A" w14:textId="5F618D5D" w:rsidR="005C3BAA" w:rsidRPr="00AC642F" w:rsidRDefault="00AC642F" w:rsidP="00AC642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370 997,2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FFA" w14:textId="0E9F2997" w:rsidR="005C3BAA" w:rsidRPr="00AC642F" w:rsidRDefault="00AC642F" w:rsidP="00AC642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420 240,3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EFB" w14:textId="435974AF" w:rsidR="005C3BAA" w:rsidRPr="006C6DFE" w:rsidRDefault="004E3844" w:rsidP="004E3844">
            <w:pPr>
              <w:pStyle w:val="Default"/>
              <w:jc w:val="center"/>
            </w:pPr>
            <w:r>
              <w:t>443 523,9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FC3" w14:textId="1295A42D" w:rsidR="005C3BAA" w:rsidRPr="006C6DFE" w:rsidRDefault="004E3844" w:rsidP="004E3844">
            <w:pPr>
              <w:pStyle w:val="Default"/>
              <w:jc w:val="center"/>
            </w:pPr>
            <w:r>
              <w:t>460 366,8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7BF" w14:textId="78036C9E" w:rsidR="005C3BAA" w:rsidRPr="006C6DFE" w:rsidRDefault="006C6DFE" w:rsidP="006C6DFE">
            <w:pPr>
              <w:pStyle w:val="Default"/>
              <w:jc w:val="center"/>
            </w:pPr>
            <w:r>
              <w:t>469 591,3</w:t>
            </w:r>
          </w:p>
        </w:tc>
      </w:tr>
      <w:tr w:rsidR="005C3BAA" w:rsidRPr="004C2513" w14:paraId="4823AD8E" w14:textId="77777777" w:rsidTr="00AA0B84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44075" w14:textId="2463111D" w:rsidR="005C3BAA" w:rsidRPr="006C6DFE" w:rsidRDefault="00AA0B84" w:rsidP="006C6DFE">
            <w:pPr>
              <w:pStyle w:val="Default"/>
            </w:pPr>
            <w:r w:rsidRPr="006C6DFE">
              <w:t>1.1.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9EF6" w14:textId="77777777" w:rsidR="00AA0B84" w:rsidRPr="006C6DFE" w:rsidRDefault="00AA0B84" w:rsidP="006C6DFE">
            <w:pPr>
              <w:pStyle w:val="Default"/>
            </w:pPr>
            <w:r w:rsidRPr="006C6DFE">
              <w:t>Налоговые доходы</w:t>
            </w:r>
          </w:p>
          <w:p w14:paraId="3A19AA36" w14:textId="619C38BD" w:rsidR="005C3BAA" w:rsidRPr="006C6DFE" w:rsidRDefault="005C3BAA" w:rsidP="006C6DFE">
            <w:pPr>
              <w:pStyle w:val="Defaul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A7C" w14:textId="6CBAAE0A" w:rsidR="005C3BAA" w:rsidRPr="006C6DFE" w:rsidRDefault="006C6DFE" w:rsidP="006C6DFE">
            <w:pPr>
              <w:pStyle w:val="Default"/>
              <w:jc w:val="center"/>
            </w:pPr>
            <w:r>
              <w:t>341 357,3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0C9C" w14:textId="5C6FBCD6" w:rsidR="005C3BAA" w:rsidRPr="00AC642F" w:rsidRDefault="00AC642F" w:rsidP="00AC642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361 030,4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965C" w14:textId="1ED00A9F" w:rsidR="005C3BAA" w:rsidRPr="00AC642F" w:rsidRDefault="00AC642F" w:rsidP="00AC642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397 323,3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185" w14:textId="75BF8E14" w:rsidR="005C3BAA" w:rsidRPr="006C6DFE" w:rsidRDefault="004E3844" w:rsidP="004E3844">
            <w:pPr>
              <w:pStyle w:val="Default"/>
              <w:jc w:val="center"/>
            </w:pPr>
            <w:r>
              <w:t>423 523,9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CF4" w14:textId="3458DB6D" w:rsidR="005C3BAA" w:rsidRPr="006C6DFE" w:rsidRDefault="004E3844" w:rsidP="004E3844">
            <w:pPr>
              <w:pStyle w:val="Default"/>
              <w:jc w:val="center"/>
            </w:pPr>
            <w:r>
              <w:t>440 500,0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3C2" w14:textId="190792AC" w:rsidR="005C3BAA" w:rsidRPr="006C6DFE" w:rsidRDefault="006C6DFE" w:rsidP="006C6DFE">
            <w:pPr>
              <w:pStyle w:val="Default"/>
              <w:jc w:val="center"/>
            </w:pPr>
            <w:r>
              <w:t>449 724,5</w:t>
            </w:r>
          </w:p>
        </w:tc>
      </w:tr>
      <w:tr w:rsidR="005C3BAA" w:rsidRPr="004C2513" w14:paraId="3C48AC3E" w14:textId="77777777" w:rsidTr="006C6DFE">
        <w:trPr>
          <w:trHeight w:val="37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C5FAA7" w14:textId="079455B6" w:rsidR="005C3BAA" w:rsidRPr="006C6DFE" w:rsidRDefault="00AA0B84" w:rsidP="006C6DFE">
            <w:pPr>
              <w:pStyle w:val="Default"/>
            </w:pPr>
            <w:r w:rsidRPr="006C6DFE">
              <w:t>1.2.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98E2" w14:textId="5DE6AB65" w:rsidR="005C3BAA" w:rsidRPr="006C6DFE" w:rsidRDefault="00AA0B84" w:rsidP="006C6DFE">
            <w:pPr>
              <w:pStyle w:val="Default"/>
            </w:pPr>
            <w:r w:rsidRPr="006C6DFE"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C3857" w14:textId="41646101" w:rsidR="005C3BAA" w:rsidRPr="006C6DFE" w:rsidRDefault="006C6DFE" w:rsidP="006C6DFE">
            <w:pPr>
              <w:pStyle w:val="Default"/>
              <w:jc w:val="center"/>
            </w:pPr>
            <w:r>
              <w:t>19 866,8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BA22CB" w14:textId="53C2993D" w:rsidR="005C3BAA" w:rsidRPr="00AC642F" w:rsidRDefault="005C3BAA" w:rsidP="00AC642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642F" w:rsidRPr="00AC6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9 966,8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D5A0A3" w14:textId="450C4EFE" w:rsidR="005C3BAA" w:rsidRPr="00AC642F" w:rsidRDefault="005C3BAA" w:rsidP="00AC642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642F" w:rsidRPr="00AC6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22 917,0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04D5B" w14:textId="609245C8" w:rsidR="005C3BAA" w:rsidRPr="006C6DFE" w:rsidRDefault="00C2143C" w:rsidP="004E3844">
            <w:pPr>
              <w:pStyle w:val="Default"/>
              <w:jc w:val="center"/>
            </w:pPr>
            <w:r>
              <w:t>20 000,0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4621E" w14:textId="668BE7FD" w:rsidR="005C3BAA" w:rsidRPr="006C6DFE" w:rsidRDefault="00C2143C" w:rsidP="004E3844">
            <w:pPr>
              <w:pStyle w:val="Default"/>
              <w:jc w:val="center"/>
            </w:pPr>
            <w:r>
              <w:t>19</w:t>
            </w:r>
            <w:r w:rsidR="004E3844">
              <w:t xml:space="preserve"> </w:t>
            </w:r>
            <w:r>
              <w:t>866,8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EC5D" w14:textId="6FE65004" w:rsidR="005C3BAA" w:rsidRPr="006C6DFE" w:rsidRDefault="006C6DFE" w:rsidP="006C6DFE">
            <w:pPr>
              <w:pStyle w:val="Default"/>
              <w:jc w:val="center"/>
            </w:pPr>
            <w:r>
              <w:t>19 866,8</w:t>
            </w:r>
          </w:p>
        </w:tc>
      </w:tr>
      <w:tr w:rsidR="005C3BAA" w:rsidRPr="004C2513" w14:paraId="0E78BC1F" w14:textId="77777777" w:rsidTr="00AA0B84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04A8D4" w14:textId="64798152" w:rsidR="005C3BAA" w:rsidRPr="006C6DFE" w:rsidRDefault="005C3BAA" w:rsidP="006C6DFE">
            <w:pPr>
              <w:pStyle w:val="Default"/>
            </w:pPr>
            <w:r w:rsidRPr="006C6DFE">
              <w:t> </w:t>
            </w:r>
            <w:r w:rsidR="00AA0B84" w:rsidRPr="006C6DFE">
              <w:t>2.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2D9" w14:textId="225DF0C8" w:rsidR="005C3BAA" w:rsidRPr="006C6DFE" w:rsidRDefault="00AA0B84" w:rsidP="006C6DFE">
            <w:pPr>
              <w:pStyle w:val="Default"/>
            </w:pPr>
            <w:r w:rsidRPr="006C6DFE"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C54" w14:textId="76556C0F" w:rsidR="005C3BAA" w:rsidRPr="006C6DFE" w:rsidRDefault="006C6DFE" w:rsidP="006C6DFE">
            <w:pPr>
              <w:pStyle w:val="Default"/>
              <w:jc w:val="center"/>
            </w:pPr>
            <w:r>
              <w:t>330 458,0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653" w14:textId="3D2D13FF" w:rsidR="005C3BAA" w:rsidRPr="00AC642F" w:rsidRDefault="00AC642F" w:rsidP="00AC642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314 355,1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F88" w14:textId="31FD6D99" w:rsidR="005C3BAA" w:rsidRPr="00AC642F" w:rsidRDefault="00AC642F" w:rsidP="00AC642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250 741,8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12C9" w14:textId="5F3883F7" w:rsidR="005C3BAA" w:rsidRPr="006C6DFE" w:rsidRDefault="004E3844" w:rsidP="004E3844">
            <w:pPr>
              <w:pStyle w:val="Default"/>
              <w:jc w:val="center"/>
            </w:pPr>
            <w:r w:rsidRPr="00AC642F">
              <w:rPr>
                <w:rFonts w:eastAsia="Times New Roman"/>
                <w:lang w:eastAsia="ru-RU"/>
              </w:rPr>
              <w:t>250 741,8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C59" w14:textId="162B78EB" w:rsidR="005C3BAA" w:rsidRPr="006C6DFE" w:rsidRDefault="004E3844" w:rsidP="004E3844">
            <w:pPr>
              <w:pStyle w:val="Default"/>
              <w:jc w:val="center"/>
            </w:pPr>
            <w:r w:rsidRPr="00AC642F">
              <w:rPr>
                <w:rFonts w:eastAsia="Times New Roman"/>
                <w:lang w:eastAsia="ru-RU"/>
              </w:rPr>
              <w:t>250 741,8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612" w14:textId="1DFE853F" w:rsidR="005C3BAA" w:rsidRPr="006C6DFE" w:rsidRDefault="006C6DFE" w:rsidP="006C6DFE">
            <w:pPr>
              <w:pStyle w:val="Default"/>
              <w:jc w:val="center"/>
            </w:pPr>
            <w:r>
              <w:t>255 719,1</w:t>
            </w:r>
          </w:p>
        </w:tc>
      </w:tr>
      <w:tr w:rsidR="005C3BAA" w:rsidRPr="004C2513" w14:paraId="79376421" w14:textId="77777777" w:rsidTr="006C6DFE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5B9562" w14:textId="77777777" w:rsidR="005C3BAA" w:rsidRPr="006C6DFE" w:rsidRDefault="005C3BAA" w:rsidP="006C6DFE">
            <w:pPr>
              <w:pStyle w:val="Default"/>
            </w:pPr>
            <w:r w:rsidRPr="006C6DFE">
              <w:t> 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B1D" w14:textId="58B9C59A" w:rsidR="005C3BAA" w:rsidRPr="006C6DFE" w:rsidRDefault="00AA0B84" w:rsidP="006C6DFE">
            <w:pPr>
              <w:pStyle w:val="Default"/>
            </w:pPr>
            <w:r w:rsidRPr="006C6DFE">
              <w:t>Расходы – всего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4CC" w14:textId="0D50418C" w:rsidR="005C3BAA" w:rsidRPr="006C6DFE" w:rsidRDefault="00AC642F" w:rsidP="00E50312">
            <w:pPr>
              <w:pStyle w:val="Default"/>
              <w:jc w:val="center"/>
            </w:pPr>
            <w:r>
              <w:t>701 451,1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A1A" w14:textId="1C71F84F" w:rsidR="005C3BAA" w:rsidRPr="006C6DFE" w:rsidRDefault="00E50312" w:rsidP="00E50312">
            <w:pPr>
              <w:pStyle w:val="Default"/>
              <w:jc w:val="center"/>
            </w:pPr>
            <w:r>
              <w:t>704 466,1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090A" w14:textId="3CCB9632" w:rsidR="005C3BAA" w:rsidRPr="006C6DFE" w:rsidRDefault="00E50312" w:rsidP="00E50312">
            <w:pPr>
              <w:pStyle w:val="Default"/>
              <w:jc w:val="center"/>
            </w:pPr>
            <w:r>
              <w:t>709 768,2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633" w14:textId="3C0A0D15" w:rsidR="005C3BAA" w:rsidRPr="006C6DFE" w:rsidRDefault="004E3844" w:rsidP="004E3844">
            <w:pPr>
              <w:pStyle w:val="Default"/>
              <w:jc w:val="center"/>
            </w:pPr>
            <w:r>
              <w:rPr>
                <w:rFonts w:eastAsia="Times New Roman"/>
                <w:lang w:eastAsia="ru-RU"/>
              </w:rPr>
              <w:t>694 265,7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388" w14:textId="04E5E49A" w:rsidR="005C3BAA" w:rsidRPr="006C6DFE" w:rsidRDefault="004E3844" w:rsidP="004E3844">
            <w:pPr>
              <w:pStyle w:val="Default"/>
              <w:jc w:val="center"/>
            </w:pPr>
            <w:r>
              <w:rPr>
                <w:rFonts w:eastAsia="Times New Roman"/>
                <w:lang w:eastAsia="ru-RU"/>
              </w:rPr>
              <w:t>711 108,6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A4D" w14:textId="19803D9B" w:rsidR="005C3BAA" w:rsidRPr="006C6DFE" w:rsidRDefault="008A2077" w:rsidP="008A2077">
            <w:pPr>
              <w:pStyle w:val="Default"/>
              <w:jc w:val="center"/>
            </w:pPr>
            <w:r>
              <w:t>725 310,4</w:t>
            </w:r>
          </w:p>
        </w:tc>
      </w:tr>
      <w:tr w:rsidR="005C3BAA" w:rsidRPr="004C2513" w14:paraId="13FB31DA" w14:textId="77777777" w:rsidTr="00AA0B84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CA8C4F" w14:textId="4A698115" w:rsidR="005C3BAA" w:rsidRPr="006C6DFE" w:rsidRDefault="006C6DFE" w:rsidP="006C6DFE">
            <w:pPr>
              <w:pStyle w:val="Default"/>
            </w:pPr>
            <w:r w:rsidRPr="006C6DFE">
              <w:t>1.1</w:t>
            </w:r>
            <w:r w:rsidR="005C3BAA" w:rsidRPr="006C6DFE">
              <w:t>.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56DBF" w14:textId="271679A5" w:rsidR="005C3BAA" w:rsidRPr="006C6DFE" w:rsidRDefault="006C6DFE" w:rsidP="006C6DFE">
            <w:pPr>
              <w:pStyle w:val="Default"/>
            </w:pPr>
            <w:r w:rsidRPr="006C6DFE">
              <w:t>за счет целевых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BC629" w14:textId="19E7FE28" w:rsidR="005C3BAA" w:rsidRPr="006C6DFE" w:rsidRDefault="005C3BAA" w:rsidP="00E50312">
            <w:pPr>
              <w:pStyle w:val="Default"/>
              <w:jc w:val="center"/>
            </w:pPr>
            <w:r w:rsidRPr="006C6DFE">
              <w:t> </w:t>
            </w:r>
            <w:r w:rsidR="00AC642F">
              <w:t>33 808,0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E06F5" w14:textId="4ABC0108" w:rsidR="005C3BAA" w:rsidRPr="008A2077" w:rsidRDefault="008A2077" w:rsidP="00E50312">
            <w:pPr>
              <w:pStyle w:val="Default"/>
              <w:jc w:val="center"/>
            </w:pPr>
            <w:r>
              <w:rPr>
                <w:lang w:val="en-US"/>
              </w:rPr>
              <w:t>4 520,0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DDCCB5" w14:textId="21A273AB" w:rsidR="005C3BAA" w:rsidRPr="006C6DFE" w:rsidRDefault="008A2077" w:rsidP="00E50312">
            <w:pPr>
              <w:pStyle w:val="Default"/>
              <w:jc w:val="center"/>
            </w:pPr>
            <w:r>
              <w:t>449,5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2FE38" w14:textId="204FC90D" w:rsidR="005C3BAA" w:rsidRPr="006C6DFE" w:rsidRDefault="00C2143C" w:rsidP="004E3844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F623D" w14:textId="2FE0C008" w:rsidR="005C3BAA" w:rsidRPr="006C6DFE" w:rsidRDefault="00C2143C" w:rsidP="004E3844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AB56" w14:textId="2F509737" w:rsidR="005C3BAA" w:rsidRPr="006C6DFE" w:rsidRDefault="008A2077" w:rsidP="008A2077">
            <w:pPr>
              <w:pStyle w:val="Default"/>
              <w:jc w:val="center"/>
            </w:pPr>
            <w:r>
              <w:t>5 391,6</w:t>
            </w:r>
          </w:p>
        </w:tc>
      </w:tr>
      <w:tr w:rsidR="005C3BAA" w:rsidRPr="004C2513" w14:paraId="7F3E00F7" w14:textId="77777777" w:rsidTr="006C6DFE">
        <w:trPr>
          <w:trHeight w:val="317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4308B" w14:textId="29D39E39" w:rsidR="005C3BAA" w:rsidRPr="006C6DFE" w:rsidRDefault="005C3BAA" w:rsidP="006C6DFE">
            <w:pPr>
              <w:pStyle w:val="Default"/>
            </w:pPr>
            <w:r w:rsidRPr="006C6DFE">
              <w:t> </w:t>
            </w:r>
            <w:r w:rsidR="006C6DFE" w:rsidRPr="006C6DFE">
              <w:t>3.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C3C" w14:textId="154C0796" w:rsidR="006C6DFE" w:rsidRPr="006C6DFE" w:rsidRDefault="006C6DFE" w:rsidP="006C6DFE">
            <w:pPr>
              <w:pStyle w:val="Default"/>
            </w:pPr>
            <w:r w:rsidRPr="006C6DFE">
              <w:t>Дефицит/профицит</w:t>
            </w:r>
          </w:p>
          <w:p w14:paraId="69B70EBF" w14:textId="20F04238" w:rsidR="005C3BAA" w:rsidRPr="006C6DFE" w:rsidRDefault="005C3BAA" w:rsidP="006C6DFE">
            <w:pPr>
              <w:pStyle w:val="Defaul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324" w14:textId="5B233829" w:rsidR="005C3BAA" w:rsidRPr="006C6DFE" w:rsidRDefault="00AC642F" w:rsidP="00AC642F">
            <w:pPr>
              <w:pStyle w:val="Default"/>
              <w:jc w:val="center"/>
            </w:pPr>
            <w:r>
              <w:t>- 9 769,0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91B" w14:textId="4FD8D2D8" w:rsidR="005C3BAA" w:rsidRPr="006C6DFE" w:rsidRDefault="00AC642F" w:rsidP="00AC642F">
            <w:pPr>
              <w:pStyle w:val="Default"/>
              <w:jc w:val="center"/>
            </w:pPr>
            <w:r>
              <w:t>-19 113,8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B028" w14:textId="2CD03A2A" w:rsidR="005C3BAA" w:rsidRPr="006C6DFE" w:rsidRDefault="00AC642F" w:rsidP="00AC642F">
            <w:pPr>
              <w:pStyle w:val="Default"/>
              <w:jc w:val="center"/>
            </w:pPr>
            <w:r>
              <w:t>-38 786,1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D615" w14:textId="3D95AEFC" w:rsidR="005C3BAA" w:rsidRPr="006C6DFE" w:rsidRDefault="00AC642F" w:rsidP="00AC642F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E85" w14:textId="0C9A8B35" w:rsidR="005C3BAA" w:rsidRPr="006C6DFE" w:rsidRDefault="00AC642F" w:rsidP="00AC642F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474" w14:textId="38338DB5" w:rsidR="005C3BAA" w:rsidRPr="006C6DFE" w:rsidRDefault="00AC642F" w:rsidP="00AC642F">
            <w:pPr>
              <w:pStyle w:val="Default"/>
              <w:jc w:val="center"/>
            </w:pPr>
            <w:r>
              <w:t>0,0</w:t>
            </w:r>
          </w:p>
        </w:tc>
      </w:tr>
      <w:tr w:rsidR="006C6DFE" w:rsidRPr="004C2513" w14:paraId="36DA3CB9" w14:textId="77777777" w:rsidTr="00AA0B84">
        <w:trPr>
          <w:trHeight w:val="37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5F5D127" w14:textId="6FB97E42" w:rsidR="006C6DFE" w:rsidRPr="006C6DFE" w:rsidRDefault="006C6DFE" w:rsidP="006C6DFE">
            <w:pPr>
              <w:pStyle w:val="Default"/>
            </w:pPr>
            <w:r w:rsidRPr="006C6DFE">
              <w:t>4.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59710" w14:textId="0B6AC634" w:rsidR="006C6DFE" w:rsidRPr="006C6DFE" w:rsidRDefault="006C6DFE" w:rsidP="006C6DFE">
            <w:pPr>
              <w:pStyle w:val="Default"/>
            </w:pPr>
            <w:r w:rsidRPr="006C6DFE">
              <w:t>Муниципальный долг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2F1C" w14:textId="290B544D" w:rsidR="006C6DFE" w:rsidRPr="006C6DFE" w:rsidRDefault="006C6DFE" w:rsidP="006C6DF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0709" w14:textId="5F6D29AB" w:rsidR="006C6DFE" w:rsidRPr="006C6DFE" w:rsidRDefault="006C6DFE" w:rsidP="006C6DF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B126" w14:textId="4597998E" w:rsidR="006C6DFE" w:rsidRPr="006C6DFE" w:rsidRDefault="006C6DFE" w:rsidP="006C6DF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C038" w14:textId="7008E0EE" w:rsidR="006C6DFE" w:rsidRPr="006C6DFE" w:rsidRDefault="006C6DFE" w:rsidP="006C6DF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EDC6" w14:textId="01A4DE97" w:rsidR="006C6DFE" w:rsidRPr="006C6DFE" w:rsidRDefault="006C6DFE" w:rsidP="006C6DF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9F12" w14:textId="478C32F4" w:rsidR="006C6DFE" w:rsidRPr="006C6DFE" w:rsidRDefault="006C6DFE" w:rsidP="006C6DFE">
            <w:pPr>
              <w:pStyle w:val="Default"/>
              <w:jc w:val="center"/>
            </w:pPr>
            <w:r>
              <w:t>0,0</w:t>
            </w:r>
          </w:p>
        </w:tc>
      </w:tr>
    </w:tbl>
    <w:p w14:paraId="3F407A1D" w14:textId="77777777" w:rsidR="005C3BAA" w:rsidRDefault="005C3BAA" w:rsidP="008D4C17">
      <w:pPr>
        <w:ind w:firstLine="709"/>
        <w:jc w:val="both"/>
        <w:rPr>
          <w:szCs w:val="28"/>
        </w:rPr>
      </w:pPr>
    </w:p>
    <w:sectPr w:rsidR="005C3BAA" w:rsidSect="004B2470">
      <w:pgSz w:w="16838" w:h="11906" w:orient="landscape"/>
      <w:pgMar w:top="1134" w:right="1134" w:bottom="70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619A" w14:textId="77777777" w:rsidR="004B2470" w:rsidRDefault="004B2470" w:rsidP="003E18E6">
      <w:r>
        <w:separator/>
      </w:r>
    </w:p>
  </w:endnote>
  <w:endnote w:type="continuationSeparator" w:id="0">
    <w:p w14:paraId="4FD319BF" w14:textId="77777777" w:rsidR="004B2470" w:rsidRDefault="004B2470" w:rsidP="003E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732A" w14:textId="77777777" w:rsidR="004B2470" w:rsidRDefault="004B2470" w:rsidP="003E18E6">
      <w:r>
        <w:separator/>
      </w:r>
    </w:p>
  </w:footnote>
  <w:footnote w:type="continuationSeparator" w:id="0">
    <w:p w14:paraId="49F4C905" w14:textId="77777777" w:rsidR="004B2470" w:rsidRDefault="004B2470" w:rsidP="003E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4B32A4"/>
    <w:multiLevelType w:val="hybridMultilevel"/>
    <w:tmpl w:val="0D0E112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9A1880"/>
    <w:multiLevelType w:val="multilevel"/>
    <w:tmpl w:val="3E8E2D4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AE70157"/>
    <w:multiLevelType w:val="hybridMultilevel"/>
    <w:tmpl w:val="47E6C0DA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3D8F643A"/>
    <w:multiLevelType w:val="hybridMultilevel"/>
    <w:tmpl w:val="B716473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4B530264"/>
    <w:multiLevelType w:val="hybridMultilevel"/>
    <w:tmpl w:val="E9B8C812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8A2847"/>
    <w:multiLevelType w:val="hybridMultilevel"/>
    <w:tmpl w:val="C6C4C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E28F6"/>
    <w:multiLevelType w:val="hybridMultilevel"/>
    <w:tmpl w:val="56101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68C7239"/>
    <w:multiLevelType w:val="hybridMultilevel"/>
    <w:tmpl w:val="86F26D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E100B7"/>
    <w:multiLevelType w:val="hybridMultilevel"/>
    <w:tmpl w:val="294CD6E8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EB2ADA"/>
    <w:multiLevelType w:val="hybridMultilevel"/>
    <w:tmpl w:val="2EFC02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68EA2950"/>
    <w:multiLevelType w:val="hybridMultilevel"/>
    <w:tmpl w:val="3CDAF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C01DF5"/>
    <w:multiLevelType w:val="hybridMultilevel"/>
    <w:tmpl w:val="37983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2000184207">
    <w:abstractNumId w:val="16"/>
  </w:num>
  <w:num w:numId="2" w16cid:durableId="1022899239">
    <w:abstractNumId w:val="0"/>
  </w:num>
  <w:num w:numId="3" w16cid:durableId="774405925">
    <w:abstractNumId w:val="11"/>
  </w:num>
  <w:num w:numId="4" w16cid:durableId="1242644464">
    <w:abstractNumId w:val="8"/>
  </w:num>
  <w:num w:numId="5" w16cid:durableId="1923365789">
    <w:abstractNumId w:val="2"/>
  </w:num>
  <w:num w:numId="6" w16cid:durableId="653142224">
    <w:abstractNumId w:val="13"/>
  </w:num>
  <w:num w:numId="7" w16cid:durableId="1784373981">
    <w:abstractNumId w:val="6"/>
  </w:num>
  <w:num w:numId="8" w16cid:durableId="1402869196">
    <w:abstractNumId w:val="10"/>
  </w:num>
  <w:num w:numId="9" w16cid:durableId="8145290">
    <w:abstractNumId w:val="4"/>
  </w:num>
  <w:num w:numId="10" w16cid:durableId="355471460">
    <w:abstractNumId w:val="19"/>
  </w:num>
  <w:num w:numId="11" w16cid:durableId="134758685">
    <w:abstractNumId w:val="5"/>
  </w:num>
  <w:num w:numId="12" w16cid:durableId="423497116">
    <w:abstractNumId w:val="7"/>
  </w:num>
  <w:num w:numId="13" w16cid:durableId="1217010092">
    <w:abstractNumId w:val="3"/>
  </w:num>
  <w:num w:numId="14" w16cid:durableId="495919362">
    <w:abstractNumId w:val="18"/>
  </w:num>
  <w:num w:numId="15" w16cid:durableId="349993857">
    <w:abstractNumId w:val="9"/>
  </w:num>
  <w:num w:numId="16" w16cid:durableId="1615290245">
    <w:abstractNumId w:val="14"/>
  </w:num>
  <w:num w:numId="17" w16cid:durableId="1017074425">
    <w:abstractNumId w:val="15"/>
  </w:num>
  <w:num w:numId="18" w16cid:durableId="243606762">
    <w:abstractNumId w:val="12"/>
  </w:num>
  <w:num w:numId="19" w16cid:durableId="234366394">
    <w:abstractNumId w:val="1"/>
  </w:num>
  <w:num w:numId="20" w16cid:durableId="1970131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61"/>
    <w:rsid w:val="000020B0"/>
    <w:rsid w:val="00006418"/>
    <w:rsid w:val="00013325"/>
    <w:rsid w:val="000243E6"/>
    <w:rsid w:val="000255A3"/>
    <w:rsid w:val="00044C55"/>
    <w:rsid w:val="00064353"/>
    <w:rsid w:val="00077A38"/>
    <w:rsid w:val="00080E1B"/>
    <w:rsid w:val="000D26C9"/>
    <w:rsid w:val="00101192"/>
    <w:rsid w:val="00126CDC"/>
    <w:rsid w:val="001434E8"/>
    <w:rsid w:val="001474A6"/>
    <w:rsid w:val="00150361"/>
    <w:rsid w:val="0015537A"/>
    <w:rsid w:val="001958E7"/>
    <w:rsid w:val="001A2836"/>
    <w:rsid w:val="001A737E"/>
    <w:rsid w:val="00207C2A"/>
    <w:rsid w:val="002332BA"/>
    <w:rsid w:val="002A6BC2"/>
    <w:rsid w:val="002C55C7"/>
    <w:rsid w:val="002C6CE8"/>
    <w:rsid w:val="002D6256"/>
    <w:rsid w:val="002D7900"/>
    <w:rsid w:val="00304C2F"/>
    <w:rsid w:val="0031723F"/>
    <w:rsid w:val="0033111B"/>
    <w:rsid w:val="00335F4D"/>
    <w:rsid w:val="00353A9D"/>
    <w:rsid w:val="003720DF"/>
    <w:rsid w:val="003736B5"/>
    <w:rsid w:val="00374DF6"/>
    <w:rsid w:val="0038124D"/>
    <w:rsid w:val="003B7AD0"/>
    <w:rsid w:val="003D65A7"/>
    <w:rsid w:val="003E18E6"/>
    <w:rsid w:val="003E75ED"/>
    <w:rsid w:val="003F3E19"/>
    <w:rsid w:val="00406D98"/>
    <w:rsid w:val="00411418"/>
    <w:rsid w:val="004275F9"/>
    <w:rsid w:val="004572E4"/>
    <w:rsid w:val="00466D22"/>
    <w:rsid w:val="004729FD"/>
    <w:rsid w:val="004805C6"/>
    <w:rsid w:val="00481AB9"/>
    <w:rsid w:val="004A5C17"/>
    <w:rsid w:val="004B2470"/>
    <w:rsid w:val="004B6A42"/>
    <w:rsid w:val="004C2513"/>
    <w:rsid w:val="004C306A"/>
    <w:rsid w:val="004E3844"/>
    <w:rsid w:val="0050563A"/>
    <w:rsid w:val="00561314"/>
    <w:rsid w:val="005801EA"/>
    <w:rsid w:val="0058748D"/>
    <w:rsid w:val="00594746"/>
    <w:rsid w:val="005B16FA"/>
    <w:rsid w:val="005C056D"/>
    <w:rsid w:val="005C3BAA"/>
    <w:rsid w:val="005D44FA"/>
    <w:rsid w:val="005D5E29"/>
    <w:rsid w:val="005D67D3"/>
    <w:rsid w:val="00614045"/>
    <w:rsid w:val="00644E77"/>
    <w:rsid w:val="006A5B29"/>
    <w:rsid w:val="006B76BF"/>
    <w:rsid w:val="006C6022"/>
    <w:rsid w:val="006C6DFE"/>
    <w:rsid w:val="006E2939"/>
    <w:rsid w:val="006E4D94"/>
    <w:rsid w:val="006F2D50"/>
    <w:rsid w:val="006F36E6"/>
    <w:rsid w:val="00700A9E"/>
    <w:rsid w:val="00717849"/>
    <w:rsid w:val="007759AD"/>
    <w:rsid w:val="007A535A"/>
    <w:rsid w:val="007B3FCB"/>
    <w:rsid w:val="007C45BB"/>
    <w:rsid w:val="007C69B8"/>
    <w:rsid w:val="007E7089"/>
    <w:rsid w:val="0083389D"/>
    <w:rsid w:val="00844C07"/>
    <w:rsid w:val="008453DC"/>
    <w:rsid w:val="00847009"/>
    <w:rsid w:val="00864475"/>
    <w:rsid w:val="008A2077"/>
    <w:rsid w:val="008A68E6"/>
    <w:rsid w:val="008D4C17"/>
    <w:rsid w:val="008D5D3A"/>
    <w:rsid w:val="008D6D2F"/>
    <w:rsid w:val="008F5544"/>
    <w:rsid w:val="008F5F01"/>
    <w:rsid w:val="00914081"/>
    <w:rsid w:val="00920AA8"/>
    <w:rsid w:val="00964491"/>
    <w:rsid w:val="009657D5"/>
    <w:rsid w:val="009846D7"/>
    <w:rsid w:val="00987122"/>
    <w:rsid w:val="0099582D"/>
    <w:rsid w:val="009A2589"/>
    <w:rsid w:val="009C3261"/>
    <w:rsid w:val="009E3A30"/>
    <w:rsid w:val="009F42A4"/>
    <w:rsid w:val="00A2183A"/>
    <w:rsid w:val="00A23BC1"/>
    <w:rsid w:val="00A52AF6"/>
    <w:rsid w:val="00A531E9"/>
    <w:rsid w:val="00A55E9C"/>
    <w:rsid w:val="00AA0B84"/>
    <w:rsid w:val="00AC08A3"/>
    <w:rsid w:val="00AC5E2D"/>
    <w:rsid w:val="00AC642F"/>
    <w:rsid w:val="00AC7134"/>
    <w:rsid w:val="00AE0271"/>
    <w:rsid w:val="00AE1AC6"/>
    <w:rsid w:val="00B05BE5"/>
    <w:rsid w:val="00B15960"/>
    <w:rsid w:val="00B40550"/>
    <w:rsid w:val="00B460C1"/>
    <w:rsid w:val="00B75233"/>
    <w:rsid w:val="00B82869"/>
    <w:rsid w:val="00B83B2C"/>
    <w:rsid w:val="00B851A2"/>
    <w:rsid w:val="00B92648"/>
    <w:rsid w:val="00BB26F9"/>
    <w:rsid w:val="00BB645A"/>
    <w:rsid w:val="00BC126A"/>
    <w:rsid w:val="00C2143C"/>
    <w:rsid w:val="00C21922"/>
    <w:rsid w:val="00C40D14"/>
    <w:rsid w:val="00C66761"/>
    <w:rsid w:val="00C724B1"/>
    <w:rsid w:val="00C743CE"/>
    <w:rsid w:val="00C83770"/>
    <w:rsid w:val="00C90E14"/>
    <w:rsid w:val="00CA5E0B"/>
    <w:rsid w:val="00CB25BC"/>
    <w:rsid w:val="00CB7CAC"/>
    <w:rsid w:val="00CC48C4"/>
    <w:rsid w:val="00CD440E"/>
    <w:rsid w:val="00CE3EC6"/>
    <w:rsid w:val="00D22C8B"/>
    <w:rsid w:val="00D27AFE"/>
    <w:rsid w:val="00D3337B"/>
    <w:rsid w:val="00D40036"/>
    <w:rsid w:val="00D50A23"/>
    <w:rsid w:val="00D617A9"/>
    <w:rsid w:val="00D61B6A"/>
    <w:rsid w:val="00D93EC9"/>
    <w:rsid w:val="00DC3B0A"/>
    <w:rsid w:val="00DF762B"/>
    <w:rsid w:val="00E022B7"/>
    <w:rsid w:val="00E044AF"/>
    <w:rsid w:val="00E12C9B"/>
    <w:rsid w:val="00E25616"/>
    <w:rsid w:val="00E25914"/>
    <w:rsid w:val="00E50312"/>
    <w:rsid w:val="00E52128"/>
    <w:rsid w:val="00E91D1E"/>
    <w:rsid w:val="00EA1F6C"/>
    <w:rsid w:val="00EF42DA"/>
    <w:rsid w:val="00F03CC7"/>
    <w:rsid w:val="00F20DA9"/>
    <w:rsid w:val="00F22C6C"/>
    <w:rsid w:val="00F41490"/>
    <w:rsid w:val="00F450BA"/>
    <w:rsid w:val="00F57153"/>
    <w:rsid w:val="00F80526"/>
    <w:rsid w:val="00FB32B3"/>
    <w:rsid w:val="00FC31DB"/>
    <w:rsid w:val="00FE04BD"/>
    <w:rsid w:val="00FE27D0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5B8DB"/>
  <w15:docId w15:val="{C76B2ED2-9932-464F-B44F-6A43BA99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CD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8E6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E77"/>
    <w:pPr>
      <w:keepNext/>
      <w:keepLines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8E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4E7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3E18E6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18E6"/>
    <w:pPr>
      <w:spacing w:after="100"/>
    </w:pPr>
  </w:style>
  <w:style w:type="character" w:styleId="a4">
    <w:name w:val="Hyperlink"/>
    <w:basedOn w:val="a0"/>
    <w:uiPriority w:val="99"/>
    <w:unhideWhenUsed/>
    <w:rsid w:val="003E18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1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18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8E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E18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8E6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614045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644E77"/>
    <w:pPr>
      <w:spacing w:after="100"/>
      <w:ind w:left="280"/>
    </w:pPr>
  </w:style>
  <w:style w:type="table" w:styleId="ac">
    <w:name w:val="Table Grid"/>
    <w:basedOn w:val="a1"/>
    <w:uiPriority w:val="59"/>
    <w:rsid w:val="00CA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4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C215-FFCB-4BC2-A66A-3630E22A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Темразян Сабина Арменовна</dc:creator>
  <cp:lastModifiedBy>Анастасия Смирнова</cp:lastModifiedBy>
  <cp:revision>2</cp:revision>
  <cp:lastPrinted>2016-09-16T11:43:00Z</cp:lastPrinted>
  <dcterms:created xsi:type="dcterms:W3CDTF">2024-02-20T07:59:00Z</dcterms:created>
  <dcterms:modified xsi:type="dcterms:W3CDTF">2024-02-20T07:59:00Z</dcterms:modified>
</cp:coreProperties>
</file>